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7FE96" w14:textId="712E57A6" w:rsidR="002050D1" w:rsidRDefault="00C46420">
      <w:pPr>
        <w:pStyle w:val="Title"/>
      </w:pPr>
      <w:r>
        <w:rPr>
          <w:noProof/>
          <w:lang w:val="fr-BE" w:eastAsia="fr-BE"/>
        </w:rPr>
        <mc:AlternateContent>
          <mc:Choice Requires="wpg">
            <w:drawing>
              <wp:anchor distT="0" distB="0" distL="0" distR="0" simplePos="0" relativeHeight="487446016" behindDoc="1" locked="0" layoutInCell="1" allowOverlap="1" wp14:anchorId="7974E4C9" wp14:editId="4C52F3C8">
                <wp:simplePos x="0" y="0"/>
                <wp:positionH relativeFrom="page">
                  <wp:posOffset>905706</wp:posOffset>
                </wp:positionH>
                <wp:positionV relativeFrom="page">
                  <wp:posOffset>877618</wp:posOffset>
                </wp:positionV>
                <wp:extent cx="6213475" cy="872680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3475" cy="8726805"/>
                          <a:chOff x="0" y="0"/>
                          <a:chExt cx="6213475" cy="8726805"/>
                        </a:xfrm>
                      </wpg:grpSpPr>
                      <wps:wsp>
                        <wps:cNvPr id="2" name="Graphic 2"/>
                        <wps:cNvSpPr/>
                        <wps:spPr>
                          <a:xfrm>
                            <a:off x="7619" y="7619"/>
                            <a:ext cx="6201410" cy="969644"/>
                          </a:xfrm>
                          <a:custGeom>
                            <a:avLst/>
                            <a:gdLst/>
                            <a:ahLst/>
                            <a:cxnLst/>
                            <a:rect l="l" t="t" r="r" b="b"/>
                            <a:pathLst>
                              <a:path w="6201410" h="969644">
                                <a:moveTo>
                                  <a:pt x="6201155" y="969264"/>
                                </a:moveTo>
                                <a:lnTo>
                                  <a:pt x="0" y="969264"/>
                                </a:lnTo>
                                <a:lnTo>
                                  <a:pt x="0" y="0"/>
                                </a:lnTo>
                                <a:lnTo>
                                  <a:pt x="6201155" y="0"/>
                                </a:lnTo>
                                <a:lnTo>
                                  <a:pt x="6201155" y="969264"/>
                                </a:lnTo>
                                <a:close/>
                              </a:path>
                            </a:pathLst>
                          </a:custGeom>
                          <a:solidFill>
                            <a:srgbClr val="E6E6E6"/>
                          </a:solidFill>
                        </wps:spPr>
                        <wps:bodyPr wrap="square" lIns="0" tIns="0" rIns="0" bIns="0" rtlCol="0">
                          <a:prstTxWarp prst="textNoShape">
                            <a:avLst/>
                          </a:prstTxWarp>
                          <a:noAutofit/>
                        </wps:bodyPr>
                      </wps:wsp>
                      <wps:wsp>
                        <wps:cNvPr id="3" name="Graphic 3"/>
                        <wps:cNvSpPr/>
                        <wps:spPr>
                          <a:xfrm>
                            <a:off x="0" y="0"/>
                            <a:ext cx="6213475" cy="8726805"/>
                          </a:xfrm>
                          <a:custGeom>
                            <a:avLst/>
                            <a:gdLst/>
                            <a:ahLst/>
                            <a:cxnLst/>
                            <a:rect l="l" t="t" r="r" b="b"/>
                            <a:pathLst>
                              <a:path w="6213475" h="8726805">
                                <a:moveTo>
                                  <a:pt x="6213335" y="0"/>
                                </a:moveTo>
                                <a:lnTo>
                                  <a:pt x="6207252" y="0"/>
                                </a:lnTo>
                                <a:lnTo>
                                  <a:pt x="6207252" y="6096"/>
                                </a:lnTo>
                                <a:lnTo>
                                  <a:pt x="6207252" y="976884"/>
                                </a:lnTo>
                                <a:lnTo>
                                  <a:pt x="6207252" y="982980"/>
                                </a:lnTo>
                                <a:lnTo>
                                  <a:pt x="6207252" y="8720328"/>
                                </a:lnTo>
                                <a:lnTo>
                                  <a:pt x="6121895" y="8720328"/>
                                </a:lnTo>
                                <a:lnTo>
                                  <a:pt x="6121895" y="8714232"/>
                                </a:lnTo>
                                <a:lnTo>
                                  <a:pt x="6121895" y="1842516"/>
                                </a:lnTo>
                                <a:lnTo>
                                  <a:pt x="6121895" y="1836420"/>
                                </a:lnTo>
                                <a:lnTo>
                                  <a:pt x="6115799" y="1836420"/>
                                </a:lnTo>
                                <a:lnTo>
                                  <a:pt x="6115799" y="1842516"/>
                                </a:lnTo>
                                <a:lnTo>
                                  <a:pt x="6115799" y="8714232"/>
                                </a:lnTo>
                                <a:lnTo>
                                  <a:pt x="79248" y="8714232"/>
                                </a:lnTo>
                                <a:lnTo>
                                  <a:pt x="79248" y="1842516"/>
                                </a:lnTo>
                                <a:lnTo>
                                  <a:pt x="6115799" y="1842516"/>
                                </a:lnTo>
                                <a:lnTo>
                                  <a:pt x="6115799" y="1836420"/>
                                </a:lnTo>
                                <a:lnTo>
                                  <a:pt x="73152" y="1836420"/>
                                </a:lnTo>
                                <a:lnTo>
                                  <a:pt x="73152" y="1842516"/>
                                </a:lnTo>
                                <a:lnTo>
                                  <a:pt x="73152" y="8714232"/>
                                </a:lnTo>
                                <a:lnTo>
                                  <a:pt x="73152" y="8720328"/>
                                </a:lnTo>
                                <a:lnTo>
                                  <a:pt x="6096" y="8720328"/>
                                </a:lnTo>
                                <a:lnTo>
                                  <a:pt x="6096" y="982980"/>
                                </a:lnTo>
                                <a:lnTo>
                                  <a:pt x="6207252" y="982980"/>
                                </a:lnTo>
                                <a:lnTo>
                                  <a:pt x="6207252" y="976884"/>
                                </a:lnTo>
                                <a:lnTo>
                                  <a:pt x="6096" y="976884"/>
                                </a:lnTo>
                                <a:lnTo>
                                  <a:pt x="6096" y="6096"/>
                                </a:lnTo>
                                <a:lnTo>
                                  <a:pt x="6207252" y="6096"/>
                                </a:lnTo>
                                <a:lnTo>
                                  <a:pt x="6207252" y="0"/>
                                </a:lnTo>
                                <a:lnTo>
                                  <a:pt x="0" y="0"/>
                                </a:lnTo>
                                <a:lnTo>
                                  <a:pt x="0" y="6096"/>
                                </a:lnTo>
                                <a:lnTo>
                                  <a:pt x="0" y="976884"/>
                                </a:lnTo>
                                <a:lnTo>
                                  <a:pt x="0" y="982980"/>
                                </a:lnTo>
                                <a:lnTo>
                                  <a:pt x="0" y="8720328"/>
                                </a:lnTo>
                                <a:lnTo>
                                  <a:pt x="0" y="8726424"/>
                                </a:lnTo>
                                <a:lnTo>
                                  <a:pt x="6096" y="8726424"/>
                                </a:lnTo>
                                <a:lnTo>
                                  <a:pt x="6207252" y="8726424"/>
                                </a:lnTo>
                                <a:lnTo>
                                  <a:pt x="6213335" y="8726424"/>
                                </a:lnTo>
                                <a:lnTo>
                                  <a:pt x="6213335" y="8720328"/>
                                </a:lnTo>
                                <a:lnTo>
                                  <a:pt x="6213335" y="982980"/>
                                </a:lnTo>
                                <a:lnTo>
                                  <a:pt x="6213335" y="976884"/>
                                </a:lnTo>
                                <a:lnTo>
                                  <a:pt x="6213335" y="6096"/>
                                </a:lnTo>
                                <a:lnTo>
                                  <a:pt x="621333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138B70E" id="Group 1" o:spid="_x0000_s1026" style="position:absolute;margin-left:71.3pt;margin-top:69.1pt;width:489.25pt;height:687.15pt;z-index:-15870464;mso-wrap-distance-left:0;mso-wrap-distance-right:0;mso-position-horizontal-relative:page;mso-position-vertical-relative:page" coordsize="62134,87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">
                <v:shape id="Graphic 2" o:spid="_x0000_s1027" style="position:absolute;left:76;top:76;width:62014;height:9696;visibility:visible;mso-wrap-style:square;v-text-anchor:top" coordsize="6201410,96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" path="m6201155,969264l,969264,,,6201155,r,969264xe" fillcolor="#e6e6e6" stroked="f">
                  <v:path arrowok="t"/>
                </v:shape>
                <v:shape id="Graphic 3" o:spid="_x0000_s1028" style="position:absolute;width:62134;height:87268;visibility:visible;mso-wrap-style:square;v-text-anchor:top" coordsize="6213475,8726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" path="m6213335,r-6083,l6207252,6096r,970788l6207252,982980r,7737348l6121895,8720328r,-6096l6121895,1842516r,-6096l6115799,1836420r,6096l6115799,8714232r-6036551,l79248,1842516r6036551,l6115799,1836420r-6042647,l73152,1842516r,6871716l73152,8720328r-67056,l6096,982980r6201156,l6207252,976884r-6201156,l6096,6096r6201156,l6207252,,,,,6096,,976884r,6096l,8720328r,6096l6096,8726424r6201156,l6213335,8726424r,-6096l6213335,982980r,-6096l6213335,6096r,-6096xe" fillcolor="black" stroked="f">
                  <v:path arrowok="t"/>
                </v:shape>
                <w10:wrap anchorx="page" anchory="page"/>
              </v:group>
            </w:pict>
          </mc:Fallback>
        </mc:AlternateContent>
      </w:r>
      <w:r>
        <w:t xml:space="preserve">Gereglementeerde spaarrekening(en) </w:t>
      </w:r>
      <w:r w:rsidR="00E07613" w:rsidRPr="00E07613">
        <w:t xml:space="preserve">gecommercialiseerd </w:t>
      </w:r>
      <w:r>
        <w:t xml:space="preserve">door bank </w:t>
      </w:r>
      <w:r>
        <w:rPr>
          <w:color w:val="000000"/>
          <w:highlight w:val="yellow"/>
        </w:rPr>
        <w:t>XXX</w:t>
      </w:r>
    </w:p>
    <w:p w14:paraId="73DE81FA" w14:textId="77777777" w:rsidR="002050D1" w:rsidRDefault="00C46420">
      <w:pPr>
        <w:pStyle w:val="BodyText"/>
        <w:spacing w:before="23" w:line="259" w:lineRule="auto"/>
        <w:ind w:right="276"/>
      </w:pPr>
      <w:r>
        <w:t xml:space="preserve">[Optioneel: Met het oog op meer transparantie voor de spaarder wordt u deze webpagina, voor klanten en niet-klanten, aangeboden.] Deze webpagina bevat een synthese van alle relevante informatie met betrekking tot de [maximaal] 4 verschillende gereglementeerde spaarformules aangeboden door </w:t>
      </w:r>
      <w:r>
        <w:rPr>
          <w:color w:val="000000"/>
          <w:highlight w:val="yellow"/>
        </w:rPr>
        <w:t>Bank X</w:t>
      </w:r>
      <w:r>
        <w:rPr>
          <w:color w:val="000000"/>
        </w:rPr>
        <w:t>.[, te kiezen uit 3 categorieën.]</w:t>
      </w:r>
    </w:p>
    <w:p w14:paraId="3A2D4A95" w14:textId="1042041F" w:rsidR="002050D1" w:rsidRDefault="00C46420" w:rsidP="00B00C6E">
      <w:pPr>
        <w:pStyle w:val="BodyText"/>
        <w:spacing w:before="9"/>
        <w:ind w:right="209"/>
        <w:jc w:val="both"/>
      </w:pPr>
      <w:r>
        <w:t xml:space="preserve">In geval van </w:t>
      </w:r>
      <w:r w:rsidR="00B00C6E">
        <w:t>overdracht van een spaardeposito naar een ander spaardeposito geopend op naam van dezelfde titularis bij dezelfde instelling, anders dan krachtens een doorlopende opdracht uitgevoerd, blijft de premieverwervingsperiode voor het eerste spaardeposito verworven, op voorwaarde dat het bedrag van de overdracht minimaal 500 euro bedraagt en de betrokken titularis tijdens hetzelfde kalenderjaar nog geen drie soortgelijke overdrachten vanop hetzelfde spaardeposito heeft uitgevoerd.</w:t>
      </w:r>
      <w:r>
        <w:t>.</w:t>
      </w:r>
    </w:p>
    <w:p w14:paraId="76930C38" w14:textId="77777777" w:rsidR="002050D1" w:rsidRDefault="00C46420">
      <w:pPr>
        <w:spacing w:before="11"/>
        <w:ind w:left="1064" w:right="1035" w:hanging="478"/>
        <w:jc w:val="both"/>
        <w:rPr>
          <w:b/>
        </w:rPr>
      </w:pPr>
      <w:r>
        <w:rPr>
          <w:b/>
        </w:rPr>
        <w:t xml:space="preserve">I. </w:t>
      </w:r>
      <w:r>
        <w:rPr>
          <w:b/>
          <w:color w:val="000000"/>
          <w:highlight w:val="lightGray"/>
        </w:rPr>
        <w:t>Tariefinformatie en modaliteiten van gereglementeerde spaarrekeningen (het hoogste</w:t>
      </w:r>
      <w:r>
        <w:rPr>
          <w:b/>
          <w:color w:val="000000"/>
        </w:rPr>
        <w:t xml:space="preserve"> </w:t>
      </w:r>
      <w:r>
        <w:rPr>
          <w:b/>
          <w:color w:val="000000"/>
          <w:highlight w:val="lightGray"/>
        </w:rPr>
        <w:t>rendement na 12 maanden staat eerst).</w:t>
      </w:r>
    </w:p>
    <w:p w14:paraId="0248B53C" w14:textId="63EA5EE8" w:rsidR="002050D1" w:rsidRDefault="00C46420">
      <w:pPr>
        <w:ind w:left="343" w:right="358"/>
        <w:jc w:val="both"/>
        <w:rPr>
          <w:b/>
          <w:i/>
        </w:rPr>
      </w:pPr>
      <w:r>
        <w:t xml:space="preserve">De vergoeding </w:t>
      </w:r>
      <w:r w:rsidR="00946FA5">
        <w:t xml:space="preserve">is steeds samengesteld </w:t>
      </w:r>
      <w:r>
        <w:t xml:space="preserve">uit een basisrente en een getrouwheidspremie. </w:t>
      </w:r>
      <w:r w:rsidR="00B00C6E">
        <w:rPr>
          <w:b/>
          <w:i/>
        </w:rPr>
        <w:t>Opgelet</w:t>
      </w:r>
      <w:r>
        <w:rPr>
          <w:b/>
          <w:i/>
        </w:rPr>
        <w:t xml:space="preserve">: de optelling van de basisrente en de getrouwheidspremie geldt </w:t>
      </w:r>
      <w:r w:rsidR="00B00C6E">
        <w:rPr>
          <w:b/>
          <w:i/>
        </w:rPr>
        <w:t xml:space="preserve">enkel </w:t>
      </w:r>
      <w:r>
        <w:rPr>
          <w:b/>
          <w:i/>
        </w:rPr>
        <w:t xml:space="preserve">vandaag voor een bedrag dat 1 jaar op uw rekening blijft staan en zolang de basisrente niet </w:t>
      </w:r>
      <w:r w:rsidR="00B00C6E">
        <w:rPr>
          <w:b/>
          <w:i/>
        </w:rPr>
        <w:t>verandert</w:t>
      </w:r>
      <w:r>
        <w:rPr>
          <w:b/>
          <w:i/>
        </w:rPr>
        <w:t>!</w:t>
      </w:r>
    </w:p>
    <w:p w14:paraId="3A5D800F" w14:textId="2B5AF27E" w:rsidR="002050D1" w:rsidRDefault="00C46420">
      <w:pPr>
        <w:pStyle w:val="BodyText"/>
        <w:spacing w:before="267"/>
        <w:ind w:left="343"/>
      </w:pPr>
      <w:r>
        <w:t xml:space="preserve">Voordat u een spaarrekening opent, moet u het document met </w:t>
      </w:r>
      <w:r w:rsidR="00946FA5">
        <w:t>essent</w:t>
      </w:r>
      <w:r w:rsidR="00267FD4">
        <w:t>i</w:t>
      </w:r>
      <w:r w:rsidR="00946FA5">
        <w:t xml:space="preserve">ële spaardersinformatie </w:t>
      </w:r>
      <w:r>
        <w:t>lezen.</w:t>
      </w:r>
    </w:p>
    <w:tbl>
      <w:tblPr>
        <w:tblStyle w:val="TableNormal1"/>
        <w:tblW w:w="0" w:type="auto"/>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1080"/>
        <w:gridCol w:w="1418"/>
        <w:gridCol w:w="1557"/>
        <w:gridCol w:w="2551"/>
        <w:gridCol w:w="2126"/>
      </w:tblGrid>
      <w:tr w:rsidR="002050D1" w14:paraId="75626CD7" w14:textId="77777777">
        <w:trPr>
          <w:trHeight w:val="287"/>
        </w:trPr>
        <w:tc>
          <w:tcPr>
            <w:tcW w:w="521" w:type="dxa"/>
            <w:vMerge w:val="restart"/>
            <w:tcBorders>
              <w:bottom w:val="nil"/>
            </w:tcBorders>
          </w:tcPr>
          <w:p w14:paraId="3006A14F" w14:textId="77777777" w:rsidR="002050D1" w:rsidRDefault="002050D1">
            <w:pPr>
              <w:pStyle w:val="TableParagraph"/>
            </w:pPr>
          </w:p>
          <w:p w14:paraId="096726B9" w14:textId="77777777" w:rsidR="002050D1" w:rsidRDefault="002050D1">
            <w:pPr>
              <w:pStyle w:val="TableParagraph"/>
              <w:spacing w:before="182"/>
            </w:pPr>
          </w:p>
          <w:p w14:paraId="55454493" w14:textId="77777777" w:rsidR="002050D1" w:rsidRDefault="00C46420">
            <w:pPr>
              <w:pStyle w:val="TableParagraph"/>
              <w:ind w:left="8"/>
              <w:jc w:val="center"/>
              <w:rPr>
                <w:b/>
              </w:rPr>
            </w:pPr>
            <w:r>
              <w:rPr>
                <w:b/>
              </w:rPr>
              <w:t>1</w:t>
            </w:r>
          </w:p>
        </w:tc>
        <w:tc>
          <w:tcPr>
            <w:tcW w:w="8732" w:type="dxa"/>
            <w:gridSpan w:val="5"/>
          </w:tcPr>
          <w:p w14:paraId="5D648C2C" w14:textId="77777777" w:rsidR="002050D1" w:rsidRDefault="00C46420">
            <w:pPr>
              <w:pStyle w:val="TableParagraph"/>
              <w:spacing w:before="18" w:line="249" w:lineRule="exact"/>
              <w:ind w:left="4"/>
              <w:jc w:val="center"/>
              <w:rPr>
                <w:b/>
              </w:rPr>
            </w:pPr>
            <w:r>
              <w:rPr>
                <w:b/>
              </w:rPr>
              <w:t>Volledige officiële naam van spaarrekening</w:t>
            </w:r>
          </w:p>
        </w:tc>
      </w:tr>
      <w:tr w:rsidR="002050D1" w14:paraId="7AA08D31" w14:textId="77777777">
        <w:trPr>
          <w:trHeight w:val="537"/>
        </w:trPr>
        <w:tc>
          <w:tcPr>
            <w:tcW w:w="521" w:type="dxa"/>
            <w:vMerge/>
            <w:tcBorders>
              <w:top w:val="nil"/>
              <w:bottom w:val="nil"/>
            </w:tcBorders>
          </w:tcPr>
          <w:p w14:paraId="5BF673C8" w14:textId="77777777" w:rsidR="002050D1" w:rsidRDefault="002050D1">
            <w:pPr>
              <w:rPr>
                <w:sz w:val="2"/>
                <w:szCs w:val="2"/>
              </w:rPr>
            </w:pPr>
          </w:p>
        </w:tc>
        <w:tc>
          <w:tcPr>
            <w:tcW w:w="1080" w:type="dxa"/>
          </w:tcPr>
          <w:p w14:paraId="18C4AD47" w14:textId="77777777" w:rsidR="002050D1" w:rsidRDefault="00C46420">
            <w:pPr>
              <w:pStyle w:val="TableParagraph"/>
              <w:spacing w:before="268" w:line="249" w:lineRule="exact"/>
              <w:ind w:right="118"/>
              <w:jc w:val="right"/>
              <w:rPr>
                <w:b/>
              </w:rPr>
            </w:pPr>
            <w:r>
              <w:rPr>
                <w:b/>
              </w:rPr>
              <w:t>Categorie</w:t>
            </w:r>
          </w:p>
        </w:tc>
        <w:tc>
          <w:tcPr>
            <w:tcW w:w="1418" w:type="dxa"/>
          </w:tcPr>
          <w:p w14:paraId="4C384CAB" w14:textId="77777777" w:rsidR="002050D1" w:rsidRDefault="00C46420">
            <w:pPr>
              <w:pStyle w:val="TableParagraph"/>
              <w:spacing w:before="1" w:line="267" w:lineRule="exact"/>
              <w:ind w:left="66"/>
              <w:rPr>
                <w:b/>
              </w:rPr>
            </w:pPr>
            <w:r>
              <w:rPr>
                <w:b/>
              </w:rPr>
              <w:t>Basis-</w:t>
            </w:r>
          </w:p>
          <w:p w14:paraId="26E207BA" w14:textId="77777777" w:rsidR="002050D1" w:rsidRDefault="00C46420">
            <w:pPr>
              <w:pStyle w:val="TableParagraph"/>
              <w:spacing w:line="248" w:lineRule="exact"/>
              <w:ind w:left="66"/>
              <w:rPr>
                <w:b/>
              </w:rPr>
            </w:pPr>
            <w:r>
              <w:rPr>
                <w:b/>
              </w:rPr>
              <w:t>rente</w:t>
            </w:r>
          </w:p>
        </w:tc>
        <w:tc>
          <w:tcPr>
            <w:tcW w:w="1557" w:type="dxa"/>
          </w:tcPr>
          <w:p w14:paraId="484F289C" w14:textId="77777777" w:rsidR="002050D1" w:rsidRDefault="00C46420">
            <w:pPr>
              <w:pStyle w:val="TableParagraph"/>
              <w:spacing w:before="1" w:line="267" w:lineRule="exact"/>
              <w:ind w:left="67"/>
              <w:rPr>
                <w:b/>
              </w:rPr>
            </w:pPr>
            <w:r>
              <w:rPr>
                <w:b/>
              </w:rPr>
              <w:t>Getrouwheids-</w:t>
            </w:r>
          </w:p>
          <w:p w14:paraId="1FD5D1CC" w14:textId="77777777" w:rsidR="002050D1" w:rsidRDefault="00C46420">
            <w:pPr>
              <w:pStyle w:val="TableParagraph"/>
              <w:spacing w:line="248" w:lineRule="exact"/>
              <w:ind w:left="67"/>
              <w:rPr>
                <w:b/>
              </w:rPr>
            </w:pPr>
            <w:r>
              <w:rPr>
                <w:b/>
              </w:rPr>
              <w:t>premie</w:t>
            </w:r>
          </w:p>
        </w:tc>
        <w:tc>
          <w:tcPr>
            <w:tcW w:w="2551" w:type="dxa"/>
          </w:tcPr>
          <w:p w14:paraId="68DE52E1" w14:textId="5B15998C" w:rsidR="002050D1" w:rsidRDefault="00267FD4">
            <w:pPr>
              <w:pStyle w:val="TableParagraph"/>
              <w:spacing w:before="1" w:line="267" w:lineRule="exact"/>
              <w:ind w:left="70"/>
              <w:rPr>
                <w:b/>
              </w:rPr>
            </w:pPr>
            <w:r>
              <w:rPr>
                <w:b/>
              </w:rPr>
              <w:t xml:space="preserve">Optelling van </w:t>
            </w:r>
            <w:r w:rsidR="00C46420">
              <w:rPr>
                <w:b/>
              </w:rPr>
              <w:t>basisrente</w:t>
            </w:r>
          </w:p>
          <w:p w14:paraId="341E5E6D" w14:textId="77777777" w:rsidR="002050D1" w:rsidRDefault="00C46420">
            <w:pPr>
              <w:pStyle w:val="TableParagraph"/>
              <w:spacing w:line="248" w:lineRule="exact"/>
              <w:ind w:left="70"/>
              <w:rPr>
                <w:b/>
              </w:rPr>
            </w:pPr>
            <w:r>
              <w:rPr>
                <w:b/>
              </w:rPr>
              <w:t>en getrouwheidspremie</w:t>
            </w:r>
          </w:p>
        </w:tc>
        <w:tc>
          <w:tcPr>
            <w:tcW w:w="2126" w:type="dxa"/>
          </w:tcPr>
          <w:p w14:paraId="0C194987" w14:textId="77777777" w:rsidR="002050D1" w:rsidRDefault="00C46420">
            <w:pPr>
              <w:pStyle w:val="TableParagraph"/>
              <w:spacing w:before="1" w:line="267" w:lineRule="exact"/>
              <w:ind w:left="70"/>
              <w:rPr>
                <w:b/>
              </w:rPr>
            </w:pPr>
            <w:r>
              <w:rPr>
                <w:b/>
              </w:rPr>
              <w:t>Toepasselijke</w:t>
            </w:r>
          </w:p>
          <w:p w14:paraId="41266FEC" w14:textId="77777777" w:rsidR="002050D1" w:rsidRDefault="00C46420">
            <w:pPr>
              <w:pStyle w:val="TableParagraph"/>
              <w:spacing w:line="248" w:lineRule="exact"/>
              <w:ind w:left="70"/>
              <w:rPr>
                <w:b/>
              </w:rPr>
            </w:pPr>
            <w:r>
              <w:rPr>
                <w:b/>
              </w:rPr>
              <w:t>voorwaarden</w:t>
            </w:r>
          </w:p>
        </w:tc>
      </w:tr>
      <w:tr w:rsidR="002050D1" w14:paraId="5DD6F740" w14:textId="77777777">
        <w:trPr>
          <w:trHeight w:val="578"/>
        </w:trPr>
        <w:tc>
          <w:tcPr>
            <w:tcW w:w="521" w:type="dxa"/>
            <w:vMerge/>
            <w:tcBorders>
              <w:top w:val="nil"/>
              <w:bottom w:val="nil"/>
            </w:tcBorders>
          </w:tcPr>
          <w:p w14:paraId="7C55968B" w14:textId="77777777" w:rsidR="002050D1" w:rsidRDefault="002050D1">
            <w:pPr>
              <w:rPr>
                <w:sz w:val="2"/>
                <w:szCs w:val="2"/>
              </w:rPr>
            </w:pPr>
          </w:p>
        </w:tc>
        <w:tc>
          <w:tcPr>
            <w:tcW w:w="1080" w:type="dxa"/>
          </w:tcPr>
          <w:p w14:paraId="7A7D5B89" w14:textId="77777777" w:rsidR="002050D1" w:rsidRDefault="00C46420">
            <w:pPr>
              <w:pStyle w:val="TableParagraph"/>
              <w:spacing w:before="155"/>
              <w:ind w:right="161"/>
              <w:jc w:val="right"/>
            </w:pPr>
            <w:r>
              <w:t>A / B / C</w:t>
            </w:r>
          </w:p>
        </w:tc>
        <w:tc>
          <w:tcPr>
            <w:tcW w:w="1418" w:type="dxa"/>
          </w:tcPr>
          <w:p w14:paraId="362D9F84" w14:textId="77777777" w:rsidR="002050D1" w:rsidRDefault="00C46420">
            <w:pPr>
              <w:pStyle w:val="TableParagraph"/>
              <w:spacing w:before="20"/>
              <w:ind w:left="318" w:hanging="149"/>
            </w:pPr>
            <w:r>
              <w:t>X% op jaarbasis</w:t>
            </w:r>
          </w:p>
        </w:tc>
        <w:tc>
          <w:tcPr>
            <w:tcW w:w="1557" w:type="dxa"/>
          </w:tcPr>
          <w:p w14:paraId="0F4D5177" w14:textId="77777777" w:rsidR="002050D1" w:rsidRDefault="00C46420">
            <w:pPr>
              <w:pStyle w:val="TableParagraph"/>
              <w:spacing w:before="20"/>
              <w:ind w:left="388" w:hanging="147"/>
            </w:pPr>
            <w:r>
              <w:t>X% op jaarbasis</w:t>
            </w:r>
          </w:p>
        </w:tc>
        <w:tc>
          <w:tcPr>
            <w:tcW w:w="2551" w:type="dxa"/>
          </w:tcPr>
          <w:p w14:paraId="243AF2C9" w14:textId="77777777" w:rsidR="002050D1" w:rsidRDefault="00C46420">
            <w:pPr>
              <w:pStyle w:val="TableParagraph"/>
              <w:spacing w:before="155"/>
              <w:ind w:left="12"/>
              <w:jc w:val="center"/>
            </w:pPr>
            <w:r>
              <w:t>X% op jaarbasis</w:t>
            </w:r>
          </w:p>
        </w:tc>
        <w:tc>
          <w:tcPr>
            <w:tcW w:w="2126" w:type="dxa"/>
          </w:tcPr>
          <w:p w14:paraId="0480D779" w14:textId="77777777" w:rsidR="002050D1" w:rsidRDefault="00C46420">
            <w:pPr>
              <w:pStyle w:val="TableParagraph"/>
              <w:spacing w:before="155"/>
              <w:ind w:left="71"/>
            </w:pPr>
            <w:r>
              <w:t>TBC</w:t>
            </w:r>
          </w:p>
        </w:tc>
      </w:tr>
      <w:tr w:rsidR="002050D1" w14:paraId="22D42839" w14:textId="77777777">
        <w:trPr>
          <w:trHeight w:val="275"/>
        </w:trPr>
        <w:tc>
          <w:tcPr>
            <w:tcW w:w="521" w:type="dxa"/>
            <w:vMerge/>
            <w:tcBorders>
              <w:top w:val="nil"/>
              <w:bottom w:val="nil"/>
            </w:tcBorders>
          </w:tcPr>
          <w:p w14:paraId="1AD8383B" w14:textId="77777777" w:rsidR="002050D1" w:rsidRDefault="002050D1">
            <w:pPr>
              <w:rPr>
                <w:sz w:val="2"/>
                <w:szCs w:val="2"/>
              </w:rPr>
            </w:pPr>
          </w:p>
        </w:tc>
        <w:tc>
          <w:tcPr>
            <w:tcW w:w="8732" w:type="dxa"/>
            <w:gridSpan w:val="5"/>
            <w:tcBorders>
              <w:bottom w:val="nil"/>
            </w:tcBorders>
          </w:tcPr>
          <w:p w14:paraId="73F1EB13" w14:textId="66B07E87" w:rsidR="002050D1" w:rsidRDefault="00C46420" w:rsidP="00946FA5">
            <w:pPr>
              <w:pStyle w:val="TableParagraph"/>
              <w:spacing w:before="6" w:line="249" w:lineRule="exact"/>
              <w:ind w:left="4" w:right="1"/>
              <w:jc w:val="center"/>
              <w:rPr>
                <w:i/>
              </w:rPr>
            </w:pPr>
            <w:r>
              <w:rPr>
                <w:i/>
              </w:rPr>
              <w:t xml:space="preserve">Link naar het document met essentiële </w:t>
            </w:r>
            <w:r w:rsidR="00946FA5">
              <w:rPr>
                <w:i/>
              </w:rPr>
              <w:t>spaarders</w:t>
            </w:r>
            <w:r>
              <w:rPr>
                <w:i/>
              </w:rPr>
              <w:t>informatie</w:t>
            </w:r>
          </w:p>
        </w:tc>
      </w:tr>
      <w:tr w:rsidR="002050D1" w14:paraId="6CB8B81F" w14:textId="77777777">
        <w:trPr>
          <w:trHeight w:val="288"/>
        </w:trPr>
        <w:tc>
          <w:tcPr>
            <w:tcW w:w="9253" w:type="dxa"/>
            <w:gridSpan w:val="6"/>
            <w:tcBorders>
              <w:top w:val="nil"/>
              <w:bottom w:val="nil"/>
            </w:tcBorders>
            <w:shd w:val="clear" w:color="auto" w:fill="000000"/>
          </w:tcPr>
          <w:p w14:paraId="4017D0F9" w14:textId="77777777" w:rsidR="002050D1" w:rsidRDefault="002050D1">
            <w:pPr>
              <w:pStyle w:val="TableParagraph"/>
              <w:rPr>
                <w:rFonts w:ascii="Times New Roman"/>
                <w:sz w:val="20"/>
              </w:rPr>
            </w:pPr>
          </w:p>
        </w:tc>
      </w:tr>
      <w:tr w:rsidR="002050D1" w14:paraId="688EF947" w14:textId="77777777">
        <w:trPr>
          <w:trHeight w:val="287"/>
        </w:trPr>
        <w:tc>
          <w:tcPr>
            <w:tcW w:w="521" w:type="dxa"/>
            <w:vMerge w:val="restart"/>
            <w:tcBorders>
              <w:top w:val="nil"/>
              <w:bottom w:val="nil"/>
            </w:tcBorders>
          </w:tcPr>
          <w:p w14:paraId="057C6B09" w14:textId="77777777" w:rsidR="002050D1" w:rsidRDefault="002050D1">
            <w:pPr>
              <w:pStyle w:val="TableParagraph"/>
            </w:pPr>
          </w:p>
          <w:p w14:paraId="1122EFCB" w14:textId="77777777" w:rsidR="002050D1" w:rsidRDefault="002050D1">
            <w:pPr>
              <w:pStyle w:val="TableParagraph"/>
              <w:spacing w:before="163"/>
            </w:pPr>
          </w:p>
          <w:p w14:paraId="04560914" w14:textId="77777777" w:rsidR="002050D1" w:rsidRDefault="00C46420">
            <w:pPr>
              <w:pStyle w:val="TableParagraph"/>
              <w:ind w:left="8"/>
              <w:jc w:val="center"/>
              <w:rPr>
                <w:b/>
              </w:rPr>
            </w:pPr>
            <w:r>
              <w:rPr>
                <w:b/>
              </w:rPr>
              <w:t>2</w:t>
            </w:r>
          </w:p>
        </w:tc>
        <w:tc>
          <w:tcPr>
            <w:tcW w:w="8732" w:type="dxa"/>
            <w:gridSpan w:val="5"/>
            <w:tcBorders>
              <w:top w:val="nil"/>
            </w:tcBorders>
          </w:tcPr>
          <w:p w14:paraId="73A6FEEF" w14:textId="77777777" w:rsidR="002050D1" w:rsidRDefault="00C46420">
            <w:pPr>
              <w:pStyle w:val="TableParagraph"/>
              <w:spacing w:before="18" w:line="249" w:lineRule="exact"/>
              <w:ind w:left="4"/>
              <w:jc w:val="center"/>
              <w:rPr>
                <w:b/>
              </w:rPr>
            </w:pPr>
            <w:r>
              <w:rPr>
                <w:b/>
              </w:rPr>
              <w:t>Volledige officiële naam van spaarrekening</w:t>
            </w:r>
          </w:p>
        </w:tc>
      </w:tr>
      <w:tr w:rsidR="002050D1" w14:paraId="6E5A4228" w14:textId="77777777">
        <w:trPr>
          <w:trHeight w:val="537"/>
        </w:trPr>
        <w:tc>
          <w:tcPr>
            <w:tcW w:w="521" w:type="dxa"/>
            <w:vMerge/>
            <w:tcBorders>
              <w:top w:val="nil"/>
              <w:bottom w:val="nil"/>
            </w:tcBorders>
          </w:tcPr>
          <w:p w14:paraId="4FFE0CB5" w14:textId="77777777" w:rsidR="002050D1" w:rsidRDefault="002050D1">
            <w:pPr>
              <w:rPr>
                <w:sz w:val="2"/>
                <w:szCs w:val="2"/>
              </w:rPr>
            </w:pPr>
          </w:p>
        </w:tc>
        <w:tc>
          <w:tcPr>
            <w:tcW w:w="1080" w:type="dxa"/>
          </w:tcPr>
          <w:p w14:paraId="603A5584" w14:textId="77777777" w:rsidR="002050D1" w:rsidRDefault="00C46420">
            <w:pPr>
              <w:pStyle w:val="TableParagraph"/>
              <w:spacing w:before="268" w:line="249" w:lineRule="exact"/>
              <w:ind w:right="118"/>
              <w:jc w:val="right"/>
              <w:rPr>
                <w:b/>
              </w:rPr>
            </w:pPr>
            <w:r>
              <w:rPr>
                <w:b/>
              </w:rPr>
              <w:t>Categorie</w:t>
            </w:r>
          </w:p>
        </w:tc>
        <w:tc>
          <w:tcPr>
            <w:tcW w:w="1418" w:type="dxa"/>
          </w:tcPr>
          <w:p w14:paraId="38EF9A05" w14:textId="77777777" w:rsidR="002050D1" w:rsidRDefault="00C46420">
            <w:pPr>
              <w:pStyle w:val="TableParagraph"/>
              <w:spacing w:line="268" w:lineRule="exact"/>
              <w:ind w:left="66"/>
              <w:rPr>
                <w:b/>
              </w:rPr>
            </w:pPr>
            <w:r>
              <w:rPr>
                <w:b/>
              </w:rPr>
              <w:t>Basis-</w:t>
            </w:r>
          </w:p>
          <w:p w14:paraId="5AF48F53" w14:textId="77777777" w:rsidR="002050D1" w:rsidRDefault="00C46420">
            <w:pPr>
              <w:pStyle w:val="TableParagraph"/>
              <w:spacing w:line="249" w:lineRule="exact"/>
              <w:ind w:left="66"/>
              <w:rPr>
                <w:b/>
              </w:rPr>
            </w:pPr>
            <w:r>
              <w:rPr>
                <w:b/>
              </w:rPr>
              <w:t>rente</w:t>
            </w:r>
          </w:p>
        </w:tc>
        <w:tc>
          <w:tcPr>
            <w:tcW w:w="1557" w:type="dxa"/>
          </w:tcPr>
          <w:p w14:paraId="732B575D" w14:textId="77777777" w:rsidR="002050D1" w:rsidRDefault="00C46420">
            <w:pPr>
              <w:pStyle w:val="TableParagraph"/>
              <w:spacing w:line="268" w:lineRule="exact"/>
              <w:ind w:left="67"/>
              <w:rPr>
                <w:b/>
              </w:rPr>
            </w:pPr>
            <w:r>
              <w:rPr>
                <w:b/>
              </w:rPr>
              <w:t>Getrouwheids-</w:t>
            </w:r>
          </w:p>
          <w:p w14:paraId="60C3806C" w14:textId="77777777" w:rsidR="002050D1" w:rsidRDefault="00C46420">
            <w:pPr>
              <w:pStyle w:val="TableParagraph"/>
              <w:spacing w:line="249" w:lineRule="exact"/>
              <w:ind w:left="67"/>
              <w:rPr>
                <w:b/>
              </w:rPr>
            </w:pPr>
            <w:r>
              <w:rPr>
                <w:b/>
              </w:rPr>
              <w:t>premie</w:t>
            </w:r>
          </w:p>
        </w:tc>
        <w:tc>
          <w:tcPr>
            <w:tcW w:w="2551" w:type="dxa"/>
          </w:tcPr>
          <w:p w14:paraId="47228FF7" w14:textId="1BF2E5C0" w:rsidR="002050D1" w:rsidRDefault="00267FD4">
            <w:pPr>
              <w:pStyle w:val="TableParagraph"/>
              <w:spacing w:line="268" w:lineRule="exact"/>
              <w:ind w:left="70"/>
              <w:rPr>
                <w:b/>
              </w:rPr>
            </w:pPr>
            <w:r>
              <w:rPr>
                <w:b/>
              </w:rPr>
              <w:t xml:space="preserve">Optelling van </w:t>
            </w:r>
            <w:r w:rsidR="00C46420">
              <w:rPr>
                <w:b/>
              </w:rPr>
              <w:t>basisrente</w:t>
            </w:r>
          </w:p>
          <w:p w14:paraId="13F9E3AE" w14:textId="77777777" w:rsidR="002050D1" w:rsidRDefault="00C46420">
            <w:pPr>
              <w:pStyle w:val="TableParagraph"/>
              <w:spacing w:line="249" w:lineRule="exact"/>
              <w:ind w:left="70"/>
              <w:rPr>
                <w:b/>
              </w:rPr>
            </w:pPr>
            <w:r>
              <w:rPr>
                <w:b/>
              </w:rPr>
              <w:t>en getrouwheidspremie</w:t>
            </w:r>
          </w:p>
        </w:tc>
        <w:tc>
          <w:tcPr>
            <w:tcW w:w="2126" w:type="dxa"/>
          </w:tcPr>
          <w:p w14:paraId="74A041BB" w14:textId="77777777" w:rsidR="002050D1" w:rsidRDefault="00C46420">
            <w:pPr>
              <w:pStyle w:val="TableParagraph"/>
              <w:spacing w:line="268" w:lineRule="exact"/>
              <w:ind w:left="70"/>
              <w:rPr>
                <w:b/>
              </w:rPr>
            </w:pPr>
            <w:r>
              <w:rPr>
                <w:b/>
              </w:rPr>
              <w:t>Toepasselijke</w:t>
            </w:r>
          </w:p>
          <w:p w14:paraId="430693A0" w14:textId="77777777" w:rsidR="002050D1" w:rsidRDefault="00C46420">
            <w:pPr>
              <w:pStyle w:val="TableParagraph"/>
              <w:spacing w:line="249" w:lineRule="exact"/>
              <w:ind w:left="70"/>
              <w:rPr>
                <w:b/>
              </w:rPr>
            </w:pPr>
            <w:r>
              <w:rPr>
                <w:b/>
              </w:rPr>
              <w:t>voorwaarden</w:t>
            </w:r>
          </w:p>
        </w:tc>
      </w:tr>
      <w:tr w:rsidR="002050D1" w14:paraId="6C9E8E82" w14:textId="77777777">
        <w:trPr>
          <w:trHeight w:val="537"/>
        </w:trPr>
        <w:tc>
          <w:tcPr>
            <w:tcW w:w="521" w:type="dxa"/>
            <w:vMerge/>
            <w:tcBorders>
              <w:top w:val="nil"/>
              <w:bottom w:val="nil"/>
            </w:tcBorders>
          </w:tcPr>
          <w:p w14:paraId="17A8DAFD" w14:textId="77777777" w:rsidR="002050D1" w:rsidRDefault="002050D1">
            <w:pPr>
              <w:rPr>
                <w:sz w:val="2"/>
                <w:szCs w:val="2"/>
              </w:rPr>
            </w:pPr>
          </w:p>
        </w:tc>
        <w:tc>
          <w:tcPr>
            <w:tcW w:w="1080" w:type="dxa"/>
          </w:tcPr>
          <w:p w14:paraId="43E5E976" w14:textId="77777777" w:rsidR="002050D1" w:rsidRDefault="00C46420">
            <w:pPr>
              <w:pStyle w:val="TableParagraph"/>
              <w:spacing w:before="133"/>
              <w:ind w:right="161"/>
              <w:jc w:val="right"/>
            </w:pPr>
            <w:r>
              <w:t>A / B / C</w:t>
            </w:r>
          </w:p>
        </w:tc>
        <w:tc>
          <w:tcPr>
            <w:tcW w:w="1418" w:type="dxa"/>
          </w:tcPr>
          <w:p w14:paraId="663A2DA1" w14:textId="77777777" w:rsidR="002050D1" w:rsidRDefault="00C46420">
            <w:pPr>
              <w:pStyle w:val="TableParagraph"/>
              <w:spacing w:line="268" w:lineRule="exact"/>
              <w:ind w:left="1" w:right="1"/>
              <w:jc w:val="center"/>
            </w:pPr>
            <w:r>
              <w:t>X% op</w:t>
            </w:r>
          </w:p>
          <w:p w14:paraId="60F56A8E" w14:textId="77777777" w:rsidR="002050D1" w:rsidRDefault="00C46420">
            <w:pPr>
              <w:pStyle w:val="TableParagraph"/>
              <w:spacing w:line="249" w:lineRule="exact"/>
              <w:ind w:left="1"/>
              <w:jc w:val="center"/>
            </w:pPr>
            <w:r>
              <w:t>jaarbasis</w:t>
            </w:r>
          </w:p>
        </w:tc>
        <w:tc>
          <w:tcPr>
            <w:tcW w:w="1557" w:type="dxa"/>
          </w:tcPr>
          <w:p w14:paraId="4205A719" w14:textId="77777777" w:rsidR="002050D1" w:rsidRDefault="00C46420">
            <w:pPr>
              <w:pStyle w:val="TableParagraph"/>
              <w:spacing w:line="268" w:lineRule="exact"/>
              <w:ind w:left="5"/>
              <w:jc w:val="center"/>
            </w:pPr>
            <w:r>
              <w:t>X% op</w:t>
            </w:r>
          </w:p>
          <w:p w14:paraId="6DE837EE" w14:textId="77777777" w:rsidR="002050D1" w:rsidRDefault="00C46420">
            <w:pPr>
              <w:pStyle w:val="TableParagraph"/>
              <w:spacing w:line="249" w:lineRule="exact"/>
              <w:ind w:left="5" w:right="3"/>
              <w:jc w:val="center"/>
            </w:pPr>
            <w:r>
              <w:t>jaarbasis</w:t>
            </w:r>
          </w:p>
        </w:tc>
        <w:tc>
          <w:tcPr>
            <w:tcW w:w="2551" w:type="dxa"/>
          </w:tcPr>
          <w:p w14:paraId="00B69B1A" w14:textId="77777777" w:rsidR="002050D1" w:rsidRDefault="00C46420">
            <w:pPr>
              <w:pStyle w:val="TableParagraph"/>
              <w:spacing w:before="133"/>
              <w:ind w:left="12"/>
              <w:jc w:val="center"/>
            </w:pPr>
            <w:r>
              <w:t>X% op jaarbasis</w:t>
            </w:r>
          </w:p>
        </w:tc>
        <w:tc>
          <w:tcPr>
            <w:tcW w:w="2126" w:type="dxa"/>
          </w:tcPr>
          <w:p w14:paraId="7868EED0" w14:textId="77777777" w:rsidR="002050D1" w:rsidRDefault="00C46420">
            <w:pPr>
              <w:pStyle w:val="TableParagraph"/>
              <w:spacing w:before="133"/>
              <w:ind w:left="71"/>
            </w:pPr>
            <w:r>
              <w:t>TBC</w:t>
            </w:r>
          </w:p>
        </w:tc>
      </w:tr>
      <w:tr w:rsidR="002050D1" w14:paraId="6EF59359" w14:textId="77777777">
        <w:trPr>
          <w:trHeight w:val="278"/>
        </w:trPr>
        <w:tc>
          <w:tcPr>
            <w:tcW w:w="521" w:type="dxa"/>
            <w:vMerge/>
            <w:tcBorders>
              <w:top w:val="nil"/>
              <w:bottom w:val="nil"/>
            </w:tcBorders>
          </w:tcPr>
          <w:p w14:paraId="19CDFAA7" w14:textId="77777777" w:rsidR="002050D1" w:rsidRDefault="002050D1">
            <w:pPr>
              <w:rPr>
                <w:sz w:val="2"/>
                <w:szCs w:val="2"/>
              </w:rPr>
            </w:pPr>
          </w:p>
        </w:tc>
        <w:tc>
          <w:tcPr>
            <w:tcW w:w="8732" w:type="dxa"/>
            <w:gridSpan w:val="5"/>
            <w:tcBorders>
              <w:bottom w:val="nil"/>
            </w:tcBorders>
          </w:tcPr>
          <w:p w14:paraId="0E15A207" w14:textId="5064AF05" w:rsidR="002050D1" w:rsidRDefault="00C46420" w:rsidP="00946FA5">
            <w:pPr>
              <w:pStyle w:val="TableParagraph"/>
              <w:spacing w:before="8" w:line="249" w:lineRule="exact"/>
              <w:ind w:left="4" w:right="1"/>
              <w:jc w:val="center"/>
              <w:rPr>
                <w:i/>
              </w:rPr>
            </w:pPr>
            <w:r>
              <w:rPr>
                <w:i/>
              </w:rPr>
              <w:t xml:space="preserve">Link naar het document met essentiële </w:t>
            </w:r>
            <w:r w:rsidR="00946FA5">
              <w:rPr>
                <w:i/>
              </w:rPr>
              <w:t>spaarders</w:t>
            </w:r>
            <w:r>
              <w:rPr>
                <w:i/>
              </w:rPr>
              <w:t>informatie</w:t>
            </w:r>
          </w:p>
        </w:tc>
      </w:tr>
      <w:tr w:rsidR="002050D1" w14:paraId="73A05B9A" w14:textId="77777777">
        <w:trPr>
          <w:trHeight w:val="288"/>
        </w:trPr>
        <w:tc>
          <w:tcPr>
            <w:tcW w:w="9253" w:type="dxa"/>
            <w:gridSpan w:val="6"/>
            <w:tcBorders>
              <w:top w:val="nil"/>
              <w:bottom w:val="nil"/>
            </w:tcBorders>
            <w:shd w:val="clear" w:color="auto" w:fill="000000"/>
          </w:tcPr>
          <w:p w14:paraId="5E22AEFF" w14:textId="77777777" w:rsidR="002050D1" w:rsidRDefault="002050D1">
            <w:pPr>
              <w:pStyle w:val="TableParagraph"/>
              <w:rPr>
                <w:rFonts w:ascii="Times New Roman"/>
                <w:sz w:val="20"/>
              </w:rPr>
            </w:pPr>
          </w:p>
        </w:tc>
      </w:tr>
      <w:tr w:rsidR="002050D1" w14:paraId="3E107F91" w14:textId="77777777">
        <w:trPr>
          <w:trHeight w:val="287"/>
        </w:trPr>
        <w:tc>
          <w:tcPr>
            <w:tcW w:w="521" w:type="dxa"/>
            <w:vMerge w:val="restart"/>
            <w:tcBorders>
              <w:top w:val="nil"/>
              <w:bottom w:val="nil"/>
            </w:tcBorders>
          </w:tcPr>
          <w:p w14:paraId="69E72385" w14:textId="77777777" w:rsidR="002050D1" w:rsidRDefault="002050D1">
            <w:pPr>
              <w:pStyle w:val="TableParagraph"/>
            </w:pPr>
          </w:p>
          <w:p w14:paraId="634A99D4" w14:textId="77777777" w:rsidR="002050D1" w:rsidRDefault="002050D1">
            <w:pPr>
              <w:pStyle w:val="TableParagraph"/>
              <w:spacing w:before="160"/>
            </w:pPr>
          </w:p>
          <w:p w14:paraId="3FFC452A" w14:textId="77777777" w:rsidR="002050D1" w:rsidRDefault="00C46420">
            <w:pPr>
              <w:pStyle w:val="TableParagraph"/>
              <w:ind w:left="8"/>
              <w:jc w:val="center"/>
              <w:rPr>
                <w:b/>
              </w:rPr>
            </w:pPr>
            <w:r>
              <w:rPr>
                <w:b/>
              </w:rPr>
              <w:t>3</w:t>
            </w:r>
          </w:p>
        </w:tc>
        <w:tc>
          <w:tcPr>
            <w:tcW w:w="8732" w:type="dxa"/>
            <w:gridSpan w:val="5"/>
            <w:tcBorders>
              <w:top w:val="nil"/>
            </w:tcBorders>
          </w:tcPr>
          <w:p w14:paraId="4BF62C5B" w14:textId="77777777" w:rsidR="002050D1" w:rsidRDefault="00C46420">
            <w:pPr>
              <w:pStyle w:val="TableParagraph"/>
              <w:spacing w:before="18" w:line="249" w:lineRule="exact"/>
              <w:ind w:left="4"/>
              <w:jc w:val="center"/>
              <w:rPr>
                <w:b/>
              </w:rPr>
            </w:pPr>
            <w:r>
              <w:rPr>
                <w:b/>
              </w:rPr>
              <w:t>Volledige officiële naam van spaarrekening</w:t>
            </w:r>
          </w:p>
        </w:tc>
      </w:tr>
      <w:tr w:rsidR="002050D1" w14:paraId="2986D409" w14:textId="77777777">
        <w:trPr>
          <w:trHeight w:val="537"/>
        </w:trPr>
        <w:tc>
          <w:tcPr>
            <w:tcW w:w="521" w:type="dxa"/>
            <w:vMerge/>
            <w:tcBorders>
              <w:top w:val="nil"/>
              <w:bottom w:val="nil"/>
            </w:tcBorders>
          </w:tcPr>
          <w:p w14:paraId="19FAB5B8" w14:textId="77777777" w:rsidR="002050D1" w:rsidRDefault="002050D1">
            <w:pPr>
              <w:rPr>
                <w:sz w:val="2"/>
                <w:szCs w:val="2"/>
              </w:rPr>
            </w:pPr>
          </w:p>
        </w:tc>
        <w:tc>
          <w:tcPr>
            <w:tcW w:w="1080" w:type="dxa"/>
          </w:tcPr>
          <w:p w14:paraId="421A17BB" w14:textId="77777777" w:rsidR="002050D1" w:rsidRDefault="00C46420">
            <w:pPr>
              <w:pStyle w:val="TableParagraph"/>
              <w:spacing w:before="268" w:line="249" w:lineRule="exact"/>
              <w:ind w:right="118"/>
              <w:jc w:val="right"/>
              <w:rPr>
                <w:b/>
              </w:rPr>
            </w:pPr>
            <w:r>
              <w:rPr>
                <w:b/>
              </w:rPr>
              <w:t>Categorie</w:t>
            </w:r>
          </w:p>
        </w:tc>
        <w:tc>
          <w:tcPr>
            <w:tcW w:w="1418" w:type="dxa"/>
          </w:tcPr>
          <w:p w14:paraId="7E0D2A23" w14:textId="77777777" w:rsidR="002050D1" w:rsidRDefault="00C46420">
            <w:pPr>
              <w:pStyle w:val="TableParagraph"/>
              <w:spacing w:line="268" w:lineRule="exact"/>
              <w:ind w:left="66"/>
              <w:rPr>
                <w:b/>
              </w:rPr>
            </w:pPr>
            <w:r>
              <w:rPr>
                <w:b/>
              </w:rPr>
              <w:t>Basis-</w:t>
            </w:r>
          </w:p>
          <w:p w14:paraId="5A166C50" w14:textId="77777777" w:rsidR="002050D1" w:rsidRDefault="00C46420">
            <w:pPr>
              <w:pStyle w:val="TableParagraph"/>
              <w:spacing w:line="249" w:lineRule="exact"/>
              <w:ind w:left="66"/>
              <w:rPr>
                <w:b/>
              </w:rPr>
            </w:pPr>
            <w:r>
              <w:rPr>
                <w:b/>
              </w:rPr>
              <w:t>rente</w:t>
            </w:r>
          </w:p>
        </w:tc>
        <w:tc>
          <w:tcPr>
            <w:tcW w:w="1557" w:type="dxa"/>
          </w:tcPr>
          <w:p w14:paraId="29460C9C" w14:textId="77777777" w:rsidR="002050D1" w:rsidRDefault="00C46420">
            <w:pPr>
              <w:pStyle w:val="TableParagraph"/>
              <w:spacing w:line="268" w:lineRule="exact"/>
              <w:ind w:left="67"/>
              <w:rPr>
                <w:b/>
              </w:rPr>
            </w:pPr>
            <w:r>
              <w:rPr>
                <w:b/>
              </w:rPr>
              <w:t>Getrouwheids-</w:t>
            </w:r>
          </w:p>
          <w:p w14:paraId="7F5E8473" w14:textId="77777777" w:rsidR="002050D1" w:rsidRDefault="00C46420">
            <w:pPr>
              <w:pStyle w:val="TableParagraph"/>
              <w:spacing w:line="249" w:lineRule="exact"/>
              <w:ind w:left="67"/>
              <w:rPr>
                <w:b/>
              </w:rPr>
            </w:pPr>
            <w:r>
              <w:rPr>
                <w:b/>
              </w:rPr>
              <w:t>premie</w:t>
            </w:r>
          </w:p>
        </w:tc>
        <w:tc>
          <w:tcPr>
            <w:tcW w:w="2551" w:type="dxa"/>
          </w:tcPr>
          <w:p w14:paraId="680C306D" w14:textId="419B3C77" w:rsidR="002050D1" w:rsidRDefault="00267FD4">
            <w:pPr>
              <w:pStyle w:val="TableParagraph"/>
              <w:spacing w:line="268" w:lineRule="exact"/>
              <w:ind w:left="70"/>
              <w:rPr>
                <w:b/>
              </w:rPr>
            </w:pPr>
            <w:r>
              <w:rPr>
                <w:b/>
              </w:rPr>
              <w:t xml:space="preserve">Optelling van </w:t>
            </w:r>
            <w:r w:rsidR="00C46420">
              <w:rPr>
                <w:b/>
              </w:rPr>
              <w:t>basisrente</w:t>
            </w:r>
          </w:p>
          <w:p w14:paraId="36AAC128" w14:textId="77777777" w:rsidR="002050D1" w:rsidRDefault="00C46420">
            <w:pPr>
              <w:pStyle w:val="TableParagraph"/>
              <w:spacing w:line="249" w:lineRule="exact"/>
              <w:ind w:left="70"/>
              <w:rPr>
                <w:b/>
              </w:rPr>
            </w:pPr>
            <w:r>
              <w:rPr>
                <w:b/>
              </w:rPr>
              <w:t>en getrouwheidspremie</w:t>
            </w:r>
          </w:p>
        </w:tc>
        <w:tc>
          <w:tcPr>
            <w:tcW w:w="2126" w:type="dxa"/>
          </w:tcPr>
          <w:p w14:paraId="4FC0E329" w14:textId="77777777" w:rsidR="002050D1" w:rsidRDefault="00C46420">
            <w:pPr>
              <w:pStyle w:val="TableParagraph"/>
              <w:spacing w:line="268" w:lineRule="exact"/>
              <w:ind w:left="70"/>
              <w:rPr>
                <w:b/>
              </w:rPr>
            </w:pPr>
            <w:r>
              <w:rPr>
                <w:b/>
              </w:rPr>
              <w:t>Toepasselijke</w:t>
            </w:r>
          </w:p>
          <w:p w14:paraId="35D78E9C" w14:textId="77777777" w:rsidR="002050D1" w:rsidRDefault="00C46420">
            <w:pPr>
              <w:pStyle w:val="TableParagraph"/>
              <w:spacing w:line="249" w:lineRule="exact"/>
              <w:ind w:left="70"/>
              <w:rPr>
                <w:b/>
              </w:rPr>
            </w:pPr>
            <w:r>
              <w:rPr>
                <w:b/>
              </w:rPr>
              <w:t>voorwaarden</w:t>
            </w:r>
          </w:p>
        </w:tc>
      </w:tr>
      <w:tr w:rsidR="002050D1" w14:paraId="18FB76FD" w14:textId="77777777">
        <w:trPr>
          <w:trHeight w:val="537"/>
        </w:trPr>
        <w:tc>
          <w:tcPr>
            <w:tcW w:w="521" w:type="dxa"/>
            <w:vMerge/>
            <w:tcBorders>
              <w:top w:val="nil"/>
              <w:bottom w:val="nil"/>
            </w:tcBorders>
          </w:tcPr>
          <w:p w14:paraId="34811D2F" w14:textId="77777777" w:rsidR="002050D1" w:rsidRDefault="002050D1">
            <w:pPr>
              <w:rPr>
                <w:sz w:val="2"/>
                <w:szCs w:val="2"/>
              </w:rPr>
            </w:pPr>
          </w:p>
        </w:tc>
        <w:tc>
          <w:tcPr>
            <w:tcW w:w="1080" w:type="dxa"/>
          </w:tcPr>
          <w:p w14:paraId="58496B97" w14:textId="77777777" w:rsidR="002050D1" w:rsidRDefault="00C46420">
            <w:pPr>
              <w:pStyle w:val="TableParagraph"/>
              <w:spacing w:before="133"/>
              <w:ind w:right="161"/>
              <w:jc w:val="right"/>
            </w:pPr>
            <w:r>
              <w:t>A / B / C</w:t>
            </w:r>
          </w:p>
        </w:tc>
        <w:tc>
          <w:tcPr>
            <w:tcW w:w="1418" w:type="dxa"/>
          </w:tcPr>
          <w:p w14:paraId="13B15FB1" w14:textId="77777777" w:rsidR="002050D1" w:rsidRDefault="00C46420">
            <w:pPr>
              <w:pStyle w:val="TableParagraph"/>
              <w:spacing w:line="268" w:lineRule="exact"/>
              <w:ind w:left="1" w:right="1"/>
              <w:jc w:val="center"/>
            </w:pPr>
            <w:r>
              <w:t>X% op</w:t>
            </w:r>
          </w:p>
          <w:p w14:paraId="16B0C8FE" w14:textId="77777777" w:rsidR="002050D1" w:rsidRDefault="00C46420">
            <w:pPr>
              <w:pStyle w:val="TableParagraph"/>
              <w:spacing w:line="249" w:lineRule="exact"/>
              <w:ind w:left="1"/>
              <w:jc w:val="center"/>
            </w:pPr>
            <w:r>
              <w:t>jaarbasis</w:t>
            </w:r>
          </w:p>
        </w:tc>
        <w:tc>
          <w:tcPr>
            <w:tcW w:w="1557" w:type="dxa"/>
          </w:tcPr>
          <w:p w14:paraId="171B7AE3" w14:textId="77777777" w:rsidR="002050D1" w:rsidRDefault="00C46420">
            <w:pPr>
              <w:pStyle w:val="TableParagraph"/>
              <w:spacing w:line="268" w:lineRule="exact"/>
              <w:ind w:left="5"/>
              <w:jc w:val="center"/>
            </w:pPr>
            <w:r>
              <w:t>X% op</w:t>
            </w:r>
          </w:p>
          <w:p w14:paraId="14461C4D" w14:textId="77777777" w:rsidR="002050D1" w:rsidRDefault="00C46420">
            <w:pPr>
              <w:pStyle w:val="TableParagraph"/>
              <w:spacing w:line="249" w:lineRule="exact"/>
              <w:ind w:left="5" w:right="3"/>
              <w:jc w:val="center"/>
            </w:pPr>
            <w:r>
              <w:t>jaarbasis</w:t>
            </w:r>
          </w:p>
        </w:tc>
        <w:tc>
          <w:tcPr>
            <w:tcW w:w="2551" w:type="dxa"/>
          </w:tcPr>
          <w:p w14:paraId="60B87489" w14:textId="77777777" w:rsidR="002050D1" w:rsidRDefault="00C46420">
            <w:pPr>
              <w:pStyle w:val="TableParagraph"/>
              <w:spacing w:before="133"/>
              <w:ind w:left="12"/>
              <w:jc w:val="center"/>
            </w:pPr>
            <w:r>
              <w:t>X% op jaarbasis</w:t>
            </w:r>
          </w:p>
        </w:tc>
        <w:tc>
          <w:tcPr>
            <w:tcW w:w="2126" w:type="dxa"/>
          </w:tcPr>
          <w:p w14:paraId="1F5B9F50" w14:textId="77777777" w:rsidR="002050D1" w:rsidRDefault="00C46420">
            <w:pPr>
              <w:pStyle w:val="TableParagraph"/>
              <w:spacing w:before="133"/>
              <w:ind w:left="71"/>
            </w:pPr>
            <w:r>
              <w:t>TBC</w:t>
            </w:r>
          </w:p>
        </w:tc>
      </w:tr>
      <w:tr w:rsidR="002050D1" w14:paraId="0FCEB6A1" w14:textId="77777777">
        <w:trPr>
          <w:trHeight w:val="275"/>
        </w:trPr>
        <w:tc>
          <w:tcPr>
            <w:tcW w:w="521" w:type="dxa"/>
            <w:vMerge/>
            <w:tcBorders>
              <w:top w:val="nil"/>
              <w:bottom w:val="nil"/>
            </w:tcBorders>
          </w:tcPr>
          <w:p w14:paraId="021080DC" w14:textId="77777777" w:rsidR="002050D1" w:rsidRDefault="002050D1">
            <w:pPr>
              <w:rPr>
                <w:sz w:val="2"/>
                <w:szCs w:val="2"/>
              </w:rPr>
            </w:pPr>
          </w:p>
        </w:tc>
        <w:tc>
          <w:tcPr>
            <w:tcW w:w="8732" w:type="dxa"/>
            <w:gridSpan w:val="5"/>
            <w:tcBorders>
              <w:bottom w:val="nil"/>
            </w:tcBorders>
          </w:tcPr>
          <w:p w14:paraId="4E2C2D32" w14:textId="7B6B7F69" w:rsidR="002050D1" w:rsidRDefault="00C46420" w:rsidP="00946FA5">
            <w:pPr>
              <w:pStyle w:val="TableParagraph"/>
              <w:spacing w:before="6" w:line="249" w:lineRule="exact"/>
              <w:ind w:left="4" w:right="1"/>
              <w:jc w:val="center"/>
              <w:rPr>
                <w:i/>
              </w:rPr>
            </w:pPr>
            <w:r>
              <w:rPr>
                <w:i/>
              </w:rPr>
              <w:t xml:space="preserve">Link naar het document met essentiële </w:t>
            </w:r>
            <w:r w:rsidR="00946FA5">
              <w:rPr>
                <w:i/>
              </w:rPr>
              <w:t>spaarders</w:t>
            </w:r>
            <w:r>
              <w:rPr>
                <w:i/>
              </w:rPr>
              <w:t>informatie</w:t>
            </w:r>
          </w:p>
        </w:tc>
      </w:tr>
      <w:tr w:rsidR="002050D1" w14:paraId="3E9DC1C2" w14:textId="77777777">
        <w:trPr>
          <w:trHeight w:val="288"/>
        </w:trPr>
        <w:tc>
          <w:tcPr>
            <w:tcW w:w="9253" w:type="dxa"/>
            <w:gridSpan w:val="6"/>
            <w:tcBorders>
              <w:top w:val="nil"/>
              <w:bottom w:val="nil"/>
            </w:tcBorders>
            <w:shd w:val="clear" w:color="auto" w:fill="000000"/>
          </w:tcPr>
          <w:p w14:paraId="0840F258" w14:textId="77777777" w:rsidR="002050D1" w:rsidRDefault="002050D1">
            <w:pPr>
              <w:pStyle w:val="TableParagraph"/>
              <w:rPr>
                <w:rFonts w:ascii="Times New Roman"/>
                <w:sz w:val="20"/>
              </w:rPr>
            </w:pPr>
          </w:p>
        </w:tc>
      </w:tr>
      <w:tr w:rsidR="002050D1" w14:paraId="2F7E1A25" w14:textId="77777777">
        <w:trPr>
          <w:trHeight w:val="287"/>
        </w:trPr>
        <w:tc>
          <w:tcPr>
            <w:tcW w:w="521" w:type="dxa"/>
            <w:vMerge w:val="restart"/>
            <w:tcBorders>
              <w:top w:val="nil"/>
            </w:tcBorders>
          </w:tcPr>
          <w:p w14:paraId="451EF443" w14:textId="77777777" w:rsidR="002050D1" w:rsidRDefault="002050D1">
            <w:pPr>
              <w:pStyle w:val="TableParagraph"/>
            </w:pPr>
          </w:p>
          <w:p w14:paraId="4F8D7E70" w14:textId="77777777" w:rsidR="002050D1" w:rsidRDefault="002050D1">
            <w:pPr>
              <w:pStyle w:val="TableParagraph"/>
              <w:spacing w:before="163"/>
            </w:pPr>
          </w:p>
          <w:p w14:paraId="02386F33" w14:textId="77777777" w:rsidR="002050D1" w:rsidRDefault="00C46420">
            <w:pPr>
              <w:pStyle w:val="TableParagraph"/>
              <w:ind w:left="8"/>
              <w:jc w:val="center"/>
              <w:rPr>
                <w:b/>
              </w:rPr>
            </w:pPr>
            <w:r>
              <w:rPr>
                <w:b/>
              </w:rPr>
              <w:t>4</w:t>
            </w:r>
          </w:p>
        </w:tc>
        <w:tc>
          <w:tcPr>
            <w:tcW w:w="8732" w:type="dxa"/>
            <w:gridSpan w:val="5"/>
            <w:tcBorders>
              <w:top w:val="nil"/>
            </w:tcBorders>
          </w:tcPr>
          <w:p w14:paraId="4A0EA934" w14:textId="77777777" w:rsidR="002050D1" w:rsidRDefault="00C46420">
            <w:pPr>
              <w:pStyle w:val="TableParagraph"/>
              <w:spacing w:before="18" w:line="249" w:lineRule="exact"/>
              <w:ind w:left="4"/>
              <w:jc w:val="center"/>
              <w:rPr>
                <w:b/>
              </w:rPr>
            </w:pPr>
            <w:r>
              <w:rPr>
                <w:b/>
              </w:rPr>
              <w:t>Volledige officiële naam van spaarrekening</w:t>
            </w:r>
          </w:p>
        </w:tc>
      </w:tr>
      <w:tr w:rsidR="002050D1" w14:paraId="2713D398" w14:textId="77777777">
        <w:trPr>
          <w:trHeight w:val="537"/>
        </w:trPr>
        <w:tc>
          <w:tcPr>
            <w:tcW w:w="521" w:type="dxa"/>
            <w:vMerge/>
            <w:tcBorders>
              <w:top w:val="nil"/>
            </w:tcBorders>
          </w:tcPr>
          <w:p w14:paraId="13BDB74A" w14:textId="77777777" w:rsidR="002050D1" w:rsidRDefault="002050D1">
            <w:pPr>
              <w:rPr>
                <w:sz w:val="2"/>
                <w:szCs w:val="2"/>
              </w:rPr>
            </w:pPr>
          </w:p>
        </w:tc>
        <w:tc>
          <w:tcPr>
            <w:tcW w:w="1080" w:type="dxa"/>
          </w:tcPr>
          <w:p w14:paraId="702D4E0C" w14:textId="77777777" w:rsidR="002050D1" w:rsidRDefault="00C46420">
            <w:pPr>
              <w:pStyle w:val="TableParagraph"/>
              <w:spacing w:before="268" w:line="249" w:lineRule="exact"/>
              <w:ind w:right="118"/>
              <w:jc w:val="right"/>
              <w:rPr>
                <w:b/>
              </w:rPr>
            </w:pPr>
            <w:r>
              <w:rPr>
                <w:b/>
              </w:rPr>
              <w:t>Categorie</w:t>
            </w:r>
          </w:p>
        </w:tc>
        <w:tc>
          <w:tcPr>
            <w:tcW w:w="1418" w:type="dxa"/>
          </w:tcPr>
          <w:p w14:paraId="15181D18" w14:textId="77777777" w:rsidR="002050D1" w:rsidRDefault="00C46420">
            <w:pPr>
              <w:pStyle w:val="TableParagraph"/>
              <w:spacing w:line="268" w:lineRule="exact"/>
              <w:ind w:left="66"/>
              <w:rPr>
                <w:b/>
              </w:rPr>
            </w:pPr>
            <w:r>
              <w:rPr>
                <w:b/>
              </w:rPr>
              <w:t>Basis-</w:t>
            </w:r>
          </w:p>
          <w:p w14:paraId="5920E993" w14:textId="77777777" w:rsidR="002050D1" w:rsidRDefault="00C46420">
            <w:pPr>
              <w:pStyle w:val="TableParagraph"/>
              <w:spacing w:line="249" w:lineRule="exact"/>
              <w:ind w:left="66"/>
              <w:rPr>
                <w:b/>
              </w:rPr>
            </w:pPr>
            <w:r>
              <w:rPr>
                <w:b/>
              </w:rPr>
              <w:t>rente</w:t>
            </w:r>
          </w:p>
        </w:tc>
        <w:tc>
          <w:tcPr>
            <w:tcW w:w="1557" w:type="dxa"/>
          </w:tcPr>
          <w:p w14:paraId="5EAD8DA8" w14:textId="77777777" w:rsidR="002050D1" w:rsidRDefault="00C46420">
            <w:pPr>
              <w:pStyle w:val="TableParagraph"/>
              <w:spacing w:line="268" w:lineRule="exact"/>
              <w:ind w:left="67"/>
              <w:rPr>
                <w:b/>
              </w:rPr>
            </w:pPr>
            <w:r>
              <w:rPr>
                <w:b/>
              </w:rPr>
              <w:t>Getrouwheids-</w:t>
            </w:r>
          </w:p>
          <w:p w14:paraId="43205D64" w14:textId="77777777" w:rsidR="002050D1" w:rsidRDefault="00C46420">
            <w:pPr>
              <w:pStyle w:val="TableParagraph"/>
              <w:spacing w:line="249" w:lineRule="exact"/>
              <w:ind w:left="67"/>
              <w:rPr>
                <w:b/>
              </w:rPr>
            </w:pPr>
            <w:r>
              <w:rPr>
                <w:b/>
              </w:rPr>
              <w:t>premie</w:t>
            </w:r>
          </w:p>
        </w:tc>
        <w:tc>
          <w:tcPr>
            <w:tcW w:w="2551" w:type="dxa"/>
          </w:tcPr>
          <w:p w14:paraId="4BABACBB" w14:textId="6603EBB5" w:rsidR="002050D1" w:rsidRDefault="00267FD4">
            <w:pPr>
              <w:pStyle w:val="TableParagraph"/>
              <w:spacing w:line="268" w:lineRule="exact"/>
              <w:ind w:left="70"/>
              <w:rPr>
                <w:b/>
              </w:rPr>
            </w:pPr>
            <w:r>
              <w:rPr>
                <w:b/>
              </w:rPr>
              <w:t xml:space="preserve"> Optelling van </w:t>
            </w:r>
            <w:r w:rsidR="00C46420">
              <w:rPr>
                <w:b/>
              </w:rPr>
              <w:t>basisrente</w:t>
            </w:r>
          </w:p>
          <w:p w14:paraId="140E4EE3" w14:textId="77777777" w:rsidR="002050D1" w:rsidRDefault="00C46420">
            <w:pPr>
              <w:pStyle w:val="TableParagraph"/>
              <w:spacing w:line="249" w:lineRule="exact"/>
              <w:ind w:left="70"/>
              <w:rPr>
                <w:b/>
              </w:rPr>
            </w:pPr>
            <w:r>
              <w:rPr>
                <w:b/>
              </w:rPr>
              <w:t>en getrouwheidspremie</w:t>
            </w:r>
          </w:p>
        </w:tc>
        <w:tc>
          <w:tcPr>
            <w:tcW w:w="2126" w:type="dxa"/>
          </w:tcPr>
          <w:p w14:paraId="03F522D9" w14:textId="77777777" w:rsidR="002050D1" w:rsidRDefault="00C46420">
            <w:pPr>
              <w:pStyle w:val="TableParagraph"/>
              <w:spacing w:line="268" w:lineRule="exact"/>
              <w:ind w:left="70"/>
              <w:rPr>
                <w:b/>
              </w:rPr>
            </w:pPr>
            <w:r>
              <w:rPr>
                <w:b/>
              </w:rPr>
              <w:t>Toepasselijke</w:t>
            </w:r>
          </w:p>
          <w:p w14:paraId="6E46A423" w14:textId="77777777" w:rsidR="002050D1" w:rsidRDefault="00C46420">
            <w:pPr>
              <w:pStyle w:val="TableParagraph"/>
              <w:spacing w:line="249" w:lineRule="exact"/>
              <w:ind w:left="70"/>
              <w:rPr>
                <w:b/>
              </w:rPr>
            </w:pPr>
            <w:r>
              <w:rPr>
                <w:b/>
              </w:rPr>
              <w:t>voorwaarden</w:t>
            </w:r>
          </w:p>
        </w:tc>
      </w:tr>
      <w:tr w:rsidR="002050D1" w14:paraId="26814CAF" w14:textId="77777777">
        <w:trPr>
          <w:trHeight w:val="537"/>
        </w:trPr>
        <w:tc>
          <w:tcPr>
            <w:tcW w:w="521" w:type="dxa"/>
            <w:vMerge/>
            <w:tcBorders>
              <w:top w:val="nil"/>
            </w:tcBorders>
          </w:tcPr>
          <w:p w14:paraId="3EA931E1" w14:textId="77777777" w:rsidR="002050D1" w:rsidRDefault="002050D1">
            <w:pPr>
              <w:rPr>
                <w:sz w:val="2"/>
                <w:szCs w:val="2"/>
              </w:rPr>
            </w:pPr>
          </w:p>
        </w:tc>
        <w:tc>
          <w:tcPr>
            <w:tcW w:w="1080" w:type="dxa"/>
          </w:tcPr>
          <w:p w14:paraId="7BEB5F66" w14:textId="77777777" w:rsidR="002050D1" w:rsidRDefault="00C46420">
            <w:pPr>
              <w:pStyle w:val="TableParagraph"/>
              <w:spacing w:before="133"/>
              <w:ind w:right="161"/>
              <w:jc w:val="right"/>
            </w:pPr>
            <w:r>
              <w:t>A / B / C</w:t>
            </w:r>
          </w:p>
        </w:tc>
        <w:tc>
          <w:tcPr>
            <w:tcW w:w="1418" w:type="dxa"/>
          </w:tcPr>
          <w:p w14:paraId="0FB7C405" w14:textId="77777777" w:rsidR="002050D1" w:rsidRDefault="00C46420">
            <w:pPr>
              <w:pStyle w:val="TableParagraph"/>
              <w:spacing w:line="268" w:lineRule="exact"/>
              <w:ind w:left="1" w:right="1"/>
              <w:jc w:val="center"/>
            </w:pPr>
            <w:r>
              <w:t>X% op</w:t>
            </w:r>
          </w:p>
          <w:p w14:paraId="17E79FF4" w14:textId="77777777" w:rsidR="002050D1" w:rsidRDefault="00C46420">
            <w:pPr>
              <w:pStyle w:val="TableParagraph"/>
              <w:spacing w:line="249" w:lineRule="exact"/>
              <w:ind w:left="1"/>
              <w:jc w:val="center"/>
            </w:pPr>
            <w:r>
              <w:t>jaarbasis</w:t>
            </w:r>
          </w:p>
        </w:tc>
        <w:tc>
          <w:tcPr>
            <w:tcW w:w="1557" w:type="dxa"/>
          </w:tcPr>
          <w:p w14:paraId="2BF00698" w14:textId="77777777" w:rsidR="002050D1" w:rsidRDefault="00C46420">
            <w:pPr>
              <w:pStyle w:val="TableParagraph"/>
              <w:spacing w:line="268" w:lineRule="exact"/>
              <w:ind w:left="5"/>
              <w:jc w:val="center"/>
            </w:pPr>
            <w:r>
              <w:t>X% op</w:t>
            </w:r>
          </w:p>
          <w:p w14:paraId="3239BC7A" w14:textId="77777777" w:rsidR="002050D1" w:rsidRDefault="00C46420">
            <w:pPr>
              <w:pStyle w:val="TableParagraph"/>
              <w:spacing w:line="249" w:lineRule="exact"/>
              <w:ind w:left="5" w:right="3"/>
              <w:jc w:val="center"/>
            </w:pPr>
            <w:r>
              <w:t>jaarbasis</w:t>
            </w:r>
          </w:p>
        </w:tc>
        <w:tc>
          <w:tcPr>
            <w:tcW w:w="2551" w:type="dxa"/>
          </w:tcPr>
          <w:p w14:paraId="6C006431" w14:textId="77777777" w:rsidR="002050D1" w:rsidRDefault="00C46420">
            <w:pPr>
              <w:pStyle w:val="TableParagraph"/>
              <w:spacing w:before="133"/>
              <w:ind w:left="12"/>
              <w:jc w:val="center"/>
            </w:pPr>
            <w:r>
              <w:t>X% op jaarbasis</w:t>
            </w:r>
          </w:p>
        </w:tc>
        <w:tc>
          <w:tcPr>
            <w:tcW w:w="2126" w:type="dxa"/>
          </w:tcPr>
          <w:p w14:paraId="66109DC4" w14:textId="77777777" w:rsidR="002050D1" w:rsidRDefault="00C46420">
            <w:pPr>
              <w:pStyle w:val="TableParagraph"/>
              <w:spacing w:before="133"/>
              <w:ind w:left="71"/>
            </w:pPr>
            <w:r>
              <w:t>TBC</w:t>
            </w:r>
          </w:p>
        </w:tc>
      </w:tr>
      <w:tr w:rsidR="002050D1" w14:paraId="59B19A9B" w14:textId="77777777">
        <w:trPr>
          <w:trHeight w:val="275"/>
        </w:trPr>
        <w:tc>
          <w:tcPr>
            <w:tcW w:w="521" w:type="dxa"/>
            <w:vMerge/>
            <w:tcBorders>
              <w:top w:val="nil"/>
            </w:tcBorders>
          </w:tcPr>
          <w:p w14:paraId="49679F4E" w14:textId="77777777" w:rsidR="002050D1" w:rsidRDefault="002050D1">
            <w:pPr>
              <w:rPr>
                <w:sz w:val="2"/>
                <w:szCs w:val="2"/>
              </w:rPr>
            </w:pPr>
          </w:p>
        </w:tc>
        <w:tc>
          <w:tcPr>
            <w:tcW w:w="8732" w:type="dxa"/>
            <w:gridSpan w:val="5"/>
          </w:tcPr>
          <w:p w14:paraId="275742FD" w14:textId="3F7675AA" w:rsidR="002050D1" w:rsidRDefault="00C46420" w:rsidP="00946FA5">
            <w:pPr>
              <w:pStyle w:val="TableParagraph"/>
              <w:spacing w:before="6" w:line="249" w:lineRule="exact"/>
              <w:ind w:left="4" w:right="1"/>
              <w:jc w:val="center"/>
              <w:rPr>
                <w:i/>
              </w:rPr>
            </w:pPr>
            <w:r>
              <w:rPr>
                <w:i/>
              </w:rPr>
              <w:t xml:space="preserve">Link naar het document met essentiële </w:t>
            </w:r>
            <w:r w:rsidR="00946FA5">
              <w:rPr>
                <w:i/>
              </w:rPr>
              <w:t>spaarders</w:t>
            </w:r>
            <w:r>
              <w:rPr>
                <w:i/>
              </w:rPr>
              <w:t>informatie</w:t>
            </w:r>
          </w:p>
        </w:tc>
      </w:tr>
    </w:tbl>
    <w:p w14:paraId="0D851D14" w14:textId="7BBE7009" w:rsidR="002050D1" w:rsidRDefault="00C46420">
      <w:pPr>
        <w:pStyle w:val="BodyText"/>
        <w:ind w:left="343" w:right="305"/>
      </w:pPr>
      <w:r>
        <w:t>De</w:t>
      </w:r>
      <w:r>
        <w:rPr>
          <w:b/>
        </w:rPr>
        <w:t xml:space="preserve"> basisrente </w:t>
      </w:r>
      <w:r w:rsidR="004E74B4">
        <w:rPr>
          <w:b/>
        </w:rPr>
        <w:t xml:space="preserve">is </w:t>
      </w:r>
      <w:r>
        <w:t xml:space="preserve">verworven vanaf de </w:t>
      </w:r>
      <w:r>
        <w:rPr>
          <w:color w:val="000000"/>
          <w:highlight w:val="yellow"/>
        </w:rPr>
        <w:t xml:space="preserve">dag van/na </w:t>
      </w:r>
      <w:r>
        <w:rPr>
          <w:color w:val="000000"/>
        </w:rPr>
        <w:t>de storting van het geld op de rekening</w:t>
      </w:r>
      <w:r w:rsidR="004E74B4">
        <w:rPr>
          <w:color w:val="000000"/>
        </w:rPr>
        <w:t xml:space="preserve"> en</w:t>
      </w:r>
      <w:r>
        <w:rPr>
          <w:color w:val="000000"/>
        </w:rPr>
        <w:t xml:space="preserve"> tot de </w:t>
      </w:r>
      <w:proofErr w:type="spellStart"/>
      <w:r>
        <w:rPr>
          <w:color w:val="000000"/>
        </w:rPr>
        <w:t>dag</w:t>
      </w:r>
      <w:r w:rsidR="004E74B4">
        <w:rPr>
          <w:color w:val="000000"/>
        </w:rPr>
        <w:t>van</w:t>
      </w:r>
      <w:proofErr w:type="spellEnd"/>
      <w:r w:rsidR="004E74B4">
        <w:rPr>
          <w:color w:val="000000"/>
        </w:rPr>
        <w:t xml:space="preserve"> de geldopname</w:t>
      </w:r>
      <w:r>
        <w:rPr>
          <w:color w:val="000000"/>
        </w:rPr>
        <w:t xml:space="preserve">. </w:t>
      </w:r>
      <w:r w:rsidR="004E74B4">
        <w:rPr>
          <w:color w:val="000000"/>
        </w:rPr>
        <w:t>Het basisrentetarief</w:t>
      </w:r>
      <w:r>
        <w:rPr>
          <w:color w:val="000000"/>
        </w:rPr>
        <w:t xml:space="preserve"> kan </w:t>
      </w:r>
      <w:r w:rsidR="004E74B4">
        <w:rPr>
          <w:color w:val="000000"/>
        </w:rPr>
        <w:t xml:space="preserve">te allen tijde </w:t>
      </w:r>
      <w:r>
        <w:rPr>
          <w:color w:val="000000"/>
        </w:rPr>
        <w:t xml:space="preserve">door de bank worden gewijzigd. De basisrente wordt op uw rekening gestort </w:t>
      </w:r>
      <w:r w:rsidR="004E74B4">
        <w:rPr>
          <w:color w:val="000000"/>
        </w:rPr>
        <w:t>met</w:t>
      </w:r>
      <w:r>
        <w:rPr>
          <w:color w:val="000000"/>
        </w:rPr>
        <w:t xml:space="preserve"> valutadatum 1 januari of wanneer u </w:t>
      </w:r>
      <w:r w:rsidR="004E74B4">
        <w:rPr>
          <w:color w:val="000000"/>
        </w:rPr>
        <w:t xml:space="preserve">uw </w:t>
      </w:r>
      <w:r>
        <w:rPr>
          <w:color w:val="000000"/>
        </w:rPr>
        <w:t>rekening afsluit.</w:t>
      </w:r>
    </w:p>
    <w:p w14:paraId="46B949E7" w14:textId="77777777" w:rsidR="002050D1" w:rsidRDefault="002050D1">
      <w:pPr>
        <w:sectPr w:rsidR="002050D1">
          <w:type w:val="continuous"/>
          <w:pgSz w:w="11910" w:h="16840"/>
          <w:pgMar w:top="1380" w:right="600" w:bottom="280" w:left="1300" w:header="708" w:footer="708" w:gutter="0"/>
          <w:cols w:space="708"/>
        </w:sectPr>
      </w:pPr>
    </w:p>
    <w:tbl>
      <w:tblPr>
        <w:tblStyle w:val="TableNormal1"/>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
        <w:gridCol w:w="9516"/>
        <w:gridCol w:w="144"/>
      </w:tblGrid>
      <w:tr w:rsidR="002050D1" w14:paraId="647C1B11" w14:textId="77777777">
        <w:trPr>
          <w:trHeight w:val="4022"/>
        </w:trPr>
        <w:tc>
          <w:tcPr>
            <w:tcW w:w="115" w:type="dxa"/>
          </w:tcPr>
          <w:p w14:paraId="4D550141" w14:textId="77777777" w:rsidR="002050D1" w:rsidRDefault="002050D1">
            <w:pPr>
              <w:pStyle w:val="TableParagraph"/>
              <w:rPr>
                <w:rFonts w:ascii="Times New Roman"/>
              </w:rPr>
            </w:pPr>
          </w:p>
        </w:tc>
        <w:tc>
          <w:tcPr>
            <w:tcW w:w="9516" w:type="dxa"/>
            <w:tcBorders>
              <w:top w:val="double" w:sz="4" w:space="0" w:color="000000"/>
              <w:bottom w:val="single" w:sz="8" w:space="0" w:color="000000"/>
            </w:tcBorders>
          </w:tcPr>
          <w:p w14:paraId="511DE863" w14:textId="0112B316" w:rsidR="002050D1" w:rsidRDefault="00C46420">
            <w:pPr>
              <w:pStyle w:val="TableParagraph"/>
              <w:spacing w:before="264"/>
              <w:ind w:left="107" w:right="91"/>
              <w:jc w:val="both"/>
            </w:pPr>
            <w:r>
              <w:t xml:space="preserve">De </w:t>
            </w:r>
            <w:r>
              <w:rPr>
                <w:b/>
                <w:bCs/>
              </w:rPr>
              <w:t>getrouwheidspremie</w:t>
            </w:r>
            <w:r>
              <w:t xml:space="preserve"> </w:t>
            </w:r>
            <w:r w:rsidR="004E74B4">
              <w:t>is slechts</w:t>
            </w:r>
            <w:r>
              <w:t xml:space="preserve"> verworven </w:t>
            </w:r>
            <w:r w:rsidR="004E74B4">
              <w:t>voor</w:t>
            </w:r>
            <w:r>
              <w:t xml:space="preserve"> bedragen die</w:t>
            </w:r>
            <w:r w:rsidR="006B1EFE">
              <w:t xml:space="preserve"> gedurende 12 maanden</w:t>
            </w:r>
            <w:r>
              <w:t xml:space="preserve"> </w:t>
            </w:r>
            <w:r w:rsidR="006B1EFE">
              <w:t xml:space="preserve">na de storting </w:t>
            </w:r>
            <w:r>
              <w:t xml:space="preserve">ononderbroken op de gereglementeerde spaarrekening </w:t>
            </w:r>
            <w:r w:rsidR="006B1EFE">
              <w:t>blijven staan</w:t>
            </w:r>
            <w:r>
              <w:t xml:space="preserve">. Indien u uw geld vóór het einde van de periode van 12 maanden opneemt, ontvangt u geen getrouwheidspremie op dat geld. Deze opname zal geen invloed hebben op de verwerving van basisrente. Deze premie loopt vanaf de </w:t>
            </w:r>
            <w:r>
              <w:rPr>
                <w:color w:val="000000"/>
                <w:highlight w:val="yellow"/>
              </w:rPr>
              <w:t>dag van/na</w:t>
            </w:r>
            <w:r>
              <w:rPr>
                <w:color w:val="000000"/>
              </w:rPr>
              <w:t xml:space="preserve"> de storting. </w:t>
            </w:r>
            <w:r w:rsidR="006B1EFE">
              <w:rPr>
                <w:color w:val="000000"/>
              </w:rPr>
              <w:t>D</w:t>
            </w:r>
            <w:r>
              <w:rPr>
                <w:color w:val="000000"/>
              </w:rPr>
              <w:t>e dag</w:t>
            </w:r>
            <w:r w:rsidR="006B1EFE">
              <w:rPr>
                <w:color w:val="000000"/>
              </w:rPr>
              <w:t xml:space="preserve"> na die waarop</w:t>
            </w:r>
            <w:r>
              <w:rPr>
                <w:color w:val="000000"/>
              </w:rPr>
              <w:t xml:space="preserve"> de getrouwheidspremie </w:t>
            </w:r>
            <w:r w:rsidR="006B1EFE">
              <w:rPr>
                <w:color w:val="000000"/>
              </w:rPr>
              <w:t xml:space="preserve">is </w:t>
            </w:r>
            <w:proofErr w:type="spellStart"/>
            <w:r>
              <w:rPr>
                <w:color w:val="000000"/>
              </w:rPr>
              <w:t>verworven</w:t>
            </w:r>
            <w:r w:rsidR="006B1EFE">
              <w:rPr>
                <w:color w:val="000000"/>
              </w:rPr>
              <w:t>start</w:t>
            </w:r>
            <w:proofErr w:type="spellEnd"/>
            <w:r w:rsidR="006B1EFE">
              <w:rPr>
                <w:color w:val="000000"/>
              </w:rPr>
              <w:t xml:space="preserve"> een nieuwe verwervingsperiode van 12 maanden</w:t>
            </w:r>
            <w:r>
              <w:rPr>
                <w:color w:val="000000"/>
              </w:rPr>
              <w:t xml:space="preserve">. Het tarief van de getrouwheidspremie kan </w:t>
            </w:r>
            <w:r w:rsidR="00635781">
              <w:rPr>
                <w:color w:val="000000"/>
              </w:rPr>
              <w:t>te allen tijde</w:t>
            </w:r>
            <w:r>
              <w:rPr>
                <w:color w:val="000000"/>
              </w:rPr>
              <w:t xml:space="preserve"> door de bank worden gewijzigd. Het </w:t>
            </w:r>
            <w:r w:rsidR="00635781">
              <w:rPr>
                <w:color w:val="000000"/>
              </w:rPr>
              <w:t xml:space="preserve">geldende </w:t>
            </w:r>
            <w:r>
              <w:rPr>
                <w:color w:val="000000"/>
              </w:rPr>
              <w:t xml:space="preserve">tarief van de getrouwheidspremie </w:t>
            </w:r>
            <w:r w:rsidR="00635781">
              <w:rPr>
                <w:color w:val="000000"/>
              </w:rPr>
              <w:t xml:space="preserve">op het moment van de storting </w:t>
            </w:r>
            <w:r>
              <w:rPr>
                <w:color w:val="000000"/>
              </w:rPr>
              <w:t xml:space="preserve">of </w:t>
            </w:r>
            <w:r w:rsidR="00635781">
              <w:rPr>
                <w:color w:val="000000"/>
              </w:rPr>
              <w:t>bij de aanvang</w:t>
            </w:r>
            <w:r>
              <w:rPr>
                <w:color w:val="000000"/>
              </w:rPr>
              <w:t xml:space="preserve"> van een nieuwe </w:t>
            </w:r>
            <w:r w:rsidR="00635781">
              <w:rPr>
                <w:color w:val="000000"/>
              </w:rPr>
              <w:t>verwervings</w:t>
            </w:r>
            <w:r>
              <w:rPr>
                <w:color w:val="000000"/>
              </w:rPr>
              <w:t xml:space="preserve">periode blijft </w:t>
            </w:r>
            <w:r w:rsidR="00635781">
              <w:rPr>
                <w:color w:val="000000"/>
              </w:rPr>
              <w:t xml:space="preserve">gedurende 12 maanden </w:t>
            </w:r>
            <w:proofErr w:type="spellStart"/>
            <w:r>
              <w:rPr>
                <w:color w:val="000000"/>
              </w:rPr>
              <w:t>ongewijzigd</w:t>
            </w:r>
            <w:r w:rsidR="00635781">
              <w:rPr>
                <w:color w:val="000000"/>
              </w:rPr>
              <w:t>van</w:t>
            </w:r>
            <w:proofErr w:type="spellEnd"/>
            <w:r w:rsidR="00635781">
              <w:rPr>
                <w:color w:val="000000"/>
              </w:rPr>
              <w:t xml:space="preserve"> toepassing</w:t>
            </w:r>
            <w:r>
              <w:rPr>
                <w:color w:val="000000"/>
              </w:rPr>
              <w:t xml:space="preserve">. </w:t>
            </w:r>
            <w:r w:rsidR="00635781">
              <w:rPr>
                <w:color w:val="000000"/>
              </w:rPr>
              <w:t>De reeds verworven</w:t>
            </w:r>
            <w:r>
              <w:rPr>
                <w:color w:val="000000"/>
              </w:rPr>
              <w:t xml:space="preserve"> getrouwheidspremie word</w:t>
            </w:r>
            <w:r w:rsidR="00635781">
              <w:rPr>
                <w:color w:val="000000"/>
              </w:rPr>
              <w:t>t</w:t>
            </w:r>
            <w:r>
              <w:rPr>
                <w:color w:val="000000"/>
              </w:rPr>
              <w:t xml:space="preserve"> op uw rekening gestort op de eerste dag </w:t>
            </w:r>
            <w:r w:rsidR="00635781">
              <w:rPr>
                <w:color w:val="000000"/>
              </w:rPr>
              <w:t>na</w:t>
            </w:r>
            <w:r>
              <w:rPr>
                <w:color w:val="000000"/>
              </w:rPr>
              <w:t xml:space="preserve"> het kwartaal waarin </w:t>
            </w:r>
            <w:r w:rsidR="00635781">
              <w:rPr>
                <w:color w:val="000000"/>
              </w:rPr>
              <w:t>die premie verworven is</w:t>
            </w:r>
            <w:r>
              <w:rPr>
                <w:color w:val="000000"/>
              </w:rPr>
              <w:t xml:space="preserve">, </w:t>
            </w:r>
            <w:r w:rsidR="0088015C">
              <w:rPr>
                <w:color w:val="000000"/>
              </w:rPr>
              <w:t>i.e</w:t>
            </w:r>
            <w:r>
              <w:rPr>
                <w:color w:val="000000"/>
              </w:rPr>
              <w:t xml:space="preserve">. </w:t>
            </w:r>
            <w:r w:rsidR="00635781">
              <w:rPr>
                <w:color w:val="000000"/>
              </w:rPr>
              <w:t xml:space="preserve">op </w:t>
            </w:r>
            <w:r>
              <w:rPr>
                <w:color w:val="000000"/>
              </w:rPr>
              <w:t xml:space="preserve">1 januari, </w:t>
            </w:r>
            <w:r w:rsidR="00D85E3A">
              <w:rPr>
                <w:color w:val="000000"/>
              </w:rPr>
              <w:t xml:space="preserve">op </w:t>
            </w:r>
            <w:r>
              <w:rPr>
                <w:color w:val="000000"/>
              </w:rPr>
              <w:t>1 april,</w:t>
            </w:r>
            <w:r w:rsidR="00D85E3A">
              <w:rPr>
                <w:color w:val="000000"/>
              </w:rPr>
              <w:t xml:space="preserve"> op</w:t>
            </w:r>
            <w:r>
              <w:rPr>
                <w:color w:val="000000"/>
              </w:rPr>
              <w:t xml:space="preserve"> 1 juli en </w:t>
            </w:r>
            <w:r w:rsidR="00D85E3A">
              <w:rPr>
                <w:color w:val="000000"/>
              </w:rPr>
              <w:t xml:space="preserve">op </w:t>
            </w:r>
            <w:r>
              <w:rPr>
                <w:color w:val="000000"/>
              </w:rPr>
              <w:t xml:space="preserve">1 oktober, of </w:t>
            </w:r>
            <w:r w:rsidR="00D85E3A">
              <w:rPr>
                <w:color w:val="000000"/>
              </w:rPr>
              <w:t xml:space="preserve">bij de afsluiting van de </w:t>
            </w:r>
            <w:r>
              <w:rPr>
                <w:color w:val="000000"/>
              </w:rPr>
              <w:t>rekening.</w:t>
            </w:r>
          </w:p>
          <w:p w14:paraId="03690CA3" w14:textId="03BA8E78" w:rsidR="002050D1" w:rsidRDefault="00C46420">
            <w:pPr>
              <w:pStyle w:val="TableParagraph"/>
              <w:spacing w:before="2" w:line="237" w:lineRule="auto"/>
              <w:ind w:left="107" w:right="175"/>
            </w:pPr>
            <w:r>
              <w:t xml:space="preserve">Klanten worden </w:t>
            </w:r>
            <w:r>
              <w:rPr>
                <w:color w:val="000000"/>
                <w:highlight w:val="yellow"/>
              </w:rPr>
              <w:t xml:space="preserve">via </w:t>
            </w:r>
            <w:r w:rsidRPr="00491960">
              <w:rPr>
                <w:color w:val="000000"/>
                <w:highlight w:val="yellow"/>
              </w:rPr>
              <w:t>hun rekeningafschriften</w:t>
            </w:r>
            <w:r>
              <w:rPr>
                <w:color w:val="000000"/>
              </w:rPr>
              <w:t xml:space="preserve"> op de hoogte gebracht van wijzigingen in de </w:t>
            </w:r>
            <w:r w:rsidR="00491960">
              <w:rPr>
                <w:color w:val="000000"/>
              </w:rPr>
              <w:t xml:space="preserve">hierboven </w:t>
            </w:r>
            <w:r>
              <w:rPr>
                <w:color w:val="000000"/>
              </w:rPr>
              <w:t>tarieven.</w:t>
            </w:r>
          </w:p>
          <w:p w14:paraId="7016878D" w14:textId="6F397177" w:rsidR="002050D1" w:rsidRDefault="00C46420" w:rsidP="001337AA">
            <w:pPr>
              <w:pStyle w:val="TableParagraph"/>
              <w:spacing w:line="270" w:lineRule="atLeast"/>
              <w:ind w:left="107" w:right="175" w:firstLine="100"/>
            </w:pPr>
            <w:r>
              <w:rPr>
                <w:b/>
                <w:u w:val="single"/>
              </w:rPr>
              <w:t>Kosten</w:t>
            </w:r>
            <w:r>
              <w:rPr>
                <w:b/>
              </w:rPr>
              <w:t xml:space="preserve">: </w:t>
            </w:r>
            <w:r>
              <w:t>opening/</w:t>
            </w:r>
            <w:r w:rsidR="00D85E3A">
              <w:t>af</w:t>
            </w:r>
            <w:r>
              <w:t>sluiting/jaar</w:t>
            </w:r>
            <w:r w:rsidR="001337AA">
              <w:t>lijkse afrekening</w:t>
            </w:r>
            <w:r>
              <w:t xml:space="preserve"> eventuele </w:t>
            </w:r>
            <w:r w:rsidR="001337AA">
              <w:t xml:space="preserve">postverzendingskosten </w:t>
            </w:r>
            <w:r>
              <w:t>en andere kosten: euro/gratis</w:t>
            </w:r>
          </w:p>
        </w:tc>
        <w:tc>
          <w:tcPr>
            <w:tcW w:w="144" w:type="dxa"/>
          </w:tcPr>
          <w:p w14:paraId="2B5B3139" w14:textId="77777777" w:rsidR="002050D1" w:rsidRDefault="002050D1">
            <w:pPr>
              <w:pStyle w:val="TableParagraph"/>
              <w:rPr>
                <w:rFonts w:ascii="Times New Roman"/>
              </w:rPr>
            </w:pPr>
          </w:p>
        </w:tc>
      </w:tr>
      <w:tr w:rsidR="002050D1" w14:paraId="5C459681" w14:textId="77777777">
        <w:trPr>
          <w:trHeight w:val="1889"/>
        </w:trPr>
        <w:tc>
          <w:tcPr>
            <w:tcW w:w="9775" w:type="dxa"/>
            <w:gridSpan w:val="3"/>
            <w:tcBorders>
              <w:top w:val="single" w:sz="8" w:space="0" w:color="000000"/>
            </w:tcBorders>
          </w:tcPr>
          <w:p w14:paraId="08274055" w14:textId="09C2E0DD" w:rsidR="002050D1" w:rsidRDefault="00C46420">
            <w:pPr>
              <w:pStyle w:val="TableParagraph"/>
              <w:tabs>
                <w:tab w:val="left" w:pos="822"/>
              </w:tabs>
              <w:spacing w:line="267" w:lineRule="exact"/>
              <w:ind w:left="290"/>
              <w:rPr>
                <w:b/>
              </w:rPr>
            </w:pPr>
            <w:r>
              <w:rPr>
                <w:b/>
              </w:rPr>
              <w:t>II.</w:t>
            </w:r>
            <w:r>
              <w:rPr>
                <w:b/>
              </w:rPr>
              <w:tab/>
            </w:r>
            <w:r w:rsidR="00D85E3A">
              <w:rPr>
                <w:b/>
                <w:color w:val="000000"/>
                <w:highlight w:val="lightGray"/>
              </w:rPr>
              <w:t>P</w:t>
            </w:r>
            <w:r>
              <w:rPr>
                <w:b/>
                <w:color w:val="000000"/>
                <w:highlight w:val="lightGray"/>
              </w:rPr>
              <w:t>laats waar de spaarcalculator van bank X kan worden geconsulteerd</w:t>
            </w:r>
            <w:r>
              <w:rPr>
                <w:b/>
                <w:color w:val="000000"/>
              </w:rPr>
              <w:t>.</w:t>
            </w:r>
          </w:p>
          <w:p w14:paraId="64DBB898" w14:textId="143930DD" w:rsidR="002050D1" w:rsidRDefault="00C46420" w:rsidP="004E30BC">
            <w:pPr>
              <w:pStyle w:val="TableParagraph"/>
              <w:spacing w:line="270" w:lineRule="atLeast"/>
              <w:ind w:left="823" w:right="193"/>
            </w:pPr>
            <w:r>
              <w:t>Deze spaarcalculator is ontwikkeld door elke kredietinstelling en is van toepassing op elke individuele gereglementeerde spaarrekening. Doelstelling is u in staat te stellen na te gaan in hoeverre de verschillende rentetypes (basisrente en getrouwheidspremie) op een bepaalde rekening verworven zijn, zodat u met name de geldelijke impact van een eventuele geldopneming kan inschatten. Deze tool kan digitaal worden geconsulteerd na de nodige verificaties via uw PC- banking- (</w:t>
            </w:r>
            <w:r>
              <w:rPr>
                <w:color w:val="000000"/>
                <w:highlight w:val="yellow"/>
              </w:rPr>
              <w:t>meer info = bankeigen)</w:t>
            </w:r>
            <w:r>
              <w:rPr>
                <w:color w:val="000000"/>
              </w:rPr>
              <w:t>.</w:t>
            </w:r>
          </w:p>
        </w:tc>
      </w:tr>
      <w:tr w:rsidR="002050D1" w14:paraId="75A070BA" w14:textId="77777777">
        <w:trPr>
          <w:trHeight w:val="1190"/>
        </w:trPr>
        <w:tc>
          <w:tcPr>
            <w:tcW w:w="9775" w:type="dxa"/>
            <w:gridSpan w:val="3"/>
          </w:tcPr>
          <w:p w14:paraId="74ABB34B" w14:textId="77777777" w:rsidR="002050D1" w:rsidRDefault="00C46420">
            <w:pPr>
              <w:pStyle w:val="TableParagraph"/>
              <w:tabs>
                <w:tab w:val="left" w:pos="822"/>
              </w:tabs>
              <w:spacing w:before="1" w:line="267" w:lineRule="exact"/>
              <w:ind w:left="232"/>
              <w:rPr>
                <w:b/>
              </w:rPr>
            </w:pPr>
            <w:r>
              <w:rPr>
                <w:b/>
              </w:rPr>
              <w:t>III.</w:t>
            </w:r>
            <w:r>
              <w:rPr>
                <w:b/>
              </w:rPr>
              <w:tab/>
              <w:t>Welke rekening en welke vergoeding stemmen overeen met uw behoeften?</w:t>
            </w:r>
          </w:p>
          <w:p w14:paraId="7A0A3BAE" w14:textId="71145910" w:rsidR="002050D1" w:rsidRDefault="00C46420" w:rsidP="0043192B">
            <w:pPr>
              <w:pStyle w:val="TableParagraph"/>
              <w:ind w:left="823" w:right="193"/>
            </w:pPr>
            <w:r>
              <w:t xml:space="preserve">Via deze link </w:t>
            </w:r>
            <w:r>
              <w:rPr>
                <w:color w:val="000000"/>
                <w:highlight w:val="yellow"/>
              </w:rPr>
              <w:t>(XXXX)</w:t>
            </w:r>
            <w:r>
              <w:rPr>
                <w:color w:val="000000"/>
              </w:rPr>
              <w:t xml:space="preserve"> komt u op de webpagina van de </w:t>
            </w:r>
            <w:r>
              <w:rPr>
                <w:b/>
                <w:color w:val="000000"/>
              </w:rPr>
              <w:t xml:space="preserve">simulator </w:t>
            </w:r>
            <w:r>
              <w:rPr>
                <w:color w:val="000000"/>
              </w:rPr>
              <w:t xml:space="preserve">die is ontwikkeld door de FSMA en als doel heeft u, na het invoeren van enkele gegevens zoals het te sparen bedrag en de looptijd, een overzicht te bieden van de </w:t>
            </w:r>
            <w:r w:rsidR="0043192B">
              <w:rPr>
                <w:color w:val="000000"/>
              </w:rPr>
              <w:t xml:space="preserve">vergoeding </w:t>
            </w:r>
            <w:r>
              <w:rPr>
                <w:color w:val="000000"/>
              </w:rPr>
              <w:t>per gereglementeerde spaarrekening en per instelling.</w:t>
            </w:r>
          </w:p>
        </w:tc>
      </w:tr>
      <w:tr w:rsidR="002050D1" w14:paraId="04639C40" w14:textId="77777777">
        <w:trPr>
          <w:trHeight w:val="803"/>
        </w:trPr>
        <w:tc>
          <w:tcPr>
            <w:tcW w:w="9775" w:type="dxa"/>
            <w:gridSpan w:val="3"/>
          </w:tcPr>
          <w:p w14:paraId="27118CC7" w14:textId="5DBEC27C" w:rsidR="002050D1" w:rsidRDefault="00C46420">
            <w:pPr>
              <w:pStyle w:val="TableParagraph"/>
              <w:tabs>
                <w:tab w:val="left" w:pos="830"/>
              </w:tabs>
              <w:spacing w:line="268" w:lineRule="exact"/>
              <w:ind w:left="222"/>
              <w:rPr>
                <w:b/>
              </w:rPr>
            </w:pPr>
            <w:r>
              <w:rPr>
                <w:b/>
              </w:rPr>
              <w:t>IV.</w:t>
            </w:r>
            <w:r>
              <w:rPr>
                <w:b/>
              </w:rPr>
              <w:tab/>
            </w:r>
            <w:r>
              <w:rPr>
                <w:b/>
                <w:color w:val="000000"/>
                <w:highlight w:val="lightGray"/>
              </w:rPr>
              <w:t xml:space="preserve">Link naar de </w:t>
            </w:r>
            <w:proofErr w:type="spellStart"/>
            <w:r>
              <w:rPr>
                <w:b/>
                <w:color w:val="000000"/>
                <w:highlight w:val="lightGray"/>
              </w:rPr>
              <w:t>bankoverstapdienst</w:t>
            </w:r>
            <w:proofErr w:type="spellEnd"/>
            <w:r>
              <w:rPr>
                <w:b/>
                <w:color w:val="000000"/>
              </w:rPr>
              <w:t xml:space="preserve"> : </w:t>
            </w:r>
            <w:r>
              <w:rPr>
                <w:color w:val="000000"/>
              </w:rPr>
              <w:t xml:space="preserve">Via deze link </w:t>
            </w:r>
            <w:r>
              <w:rPr>
                <w:color w:val="000000"/>
                <w:highlight w:val="yellow"/>
              </w:rPr>
              <w:t>(XXXX)</w:t>
            </w:r>
            <w:r>
              <w:rPr>
                <w:color w:val="000000"/>
              </w:rPr>
              <w:t xml:space="preserve"> komt u terecht op de</w:t>
            </w:r>
            <w:r w:rsidR="00A03810">
              <w:rPr>
                <w:color w:val="000000"/>
              </w:rPr>
              <w:t xml:space="preserve"> pagina over de </w:t>
            </w:r>
            <w:r>
              <w:rPr>
                <w:color w:val="000000"/>
              </w:rPr>
              <w:t xml:space="preserve"> </w:t>
            </w:r>
            <w:proofErr w:type="spellStart"/>
            <w:r>
              <w:rPr>
                <w:b/>
                <w:color w:val="000000"/>
              </w:rPr>
              <w:t>bankoverstapdienst</w:t>
            </w:r>
            <w:proofErr w:type="spellEnd"/>
          </w:p>
          <w:p w14:paraId="675275D9" w14:textId="77777777" w:rsidR="002050D1" w:rsidRDefault="00C46420">
            <w:pPr>
              <w:pStyle w:val="TableParagraph"/>
              <w:spacing w:line="267" w:lineRule="exact"/>
              <w:ind w:left="830"/>
            </w:pPr>
            <w:r>
              <w:t>van Febelfin waar u alle nodige info kan vinden om op deze dienst beroep te kunnen doen om</w:t>
            </w:r>
          </w:p>
          <w:p w14:paraId="617FF194" w14:textId="77777777" w:rsidR="002050D1" w:rsidRDefault="00C46420">
            <w:pPr>
              <w:pStyle w:val="TableParagraph"/>
              <w:spacing w:line="248" w:lineRule="exact"/>
              <w:ind w:left="830"/>
            </w:pPr>
            <w:r>
              <w:t>eventueel naar een andere bank over te stappen.</w:t>
            </w:r>
          </w:p>
        </w:tc>
      </w:tr>
      <w:tr w:rsidR="002050D1" w14:paraId="5363ADC0" w14:textId="77777777">
        <w:trPr>
          <w:trHeight w:val="2150"/>
        </w:trPr>
        <w:tc>
          <w:tcPr>
            <w:tcW w:w="9775" w:type="dxa"/>
            <w:gridSpan w:val="3"/>
          </w:tcPr>
          <w:p w14:paraId="7C6E02C9" w14:textId="77777777" w:rsidR="002050D1" w:rsidRDefault="00C46420">
            <w:pPr>
              <w:pStyle w:val="TableParagraph"/>
              <w:tabs>
                <w:tab w:val="left" w:pos="830"/>
              </w:tabs>
              <w:spacing w:before="1" w:line="267" w:lineRule="exact"/>
              <w:ind w:left="280"/>
              <w:rPr>
                <w:b/>
              </w:rPr>
            </w:pPr>
            <w:r>
              <w:rPr>
                <w:b/>
              </w:rPr>
              <w:t>V.</w:t>
            </w:r>
            <w:r>
              <w:rPr>
                <w:b/>
              </w:rPr>
              <w:tab/>
              <w:t>Belangrijkste risico’s</w:t>
            </w:r>
          </w:p>
          <w:p w14:paraId="236DDA6C" w14:textId="688A24BF" w:rsidR="002050D1" w:rsidRDefault="00C46420">
            <w:pPr>
              <w:pStyle w:val="TableParagraph"/>
              <w:ind w:left="830" w:right="149"/>
            </w:pPr>
            <w:r>
              <w:rPr>
                <w:u w:val="single"/>
              </w:rPr>
              <w:t>Risico op faillissement:</w:t>
            </w:r>
            <w:r>
              <w:t xml:space="preserve">  </w:t>
            </w:r>
            <w:r w:rsidR="002E1583">
              <w:t xml:space="preserve">In geval van </w:t>
            </w:r>
            <w:r>
              <w:t xml:space="preserve">faillissement of risico </w:t>
            </w:r>
            <w:proofErr w:type="spellStart"/>
            <w:r w:rsidR="002E1583">
              <w:t>van</w:t>
            </w:r>
            <w:r>
              <w:t>faillissement</w:t>
            </w:r>
            <w:proofErr w:type="spellEnd"/>
            <w:r>
              <w:t xml:space="preserve"> van de financiële instelling, loopt de spaarder het risico zijn spaargeld </w:t>
            </w:r>
            <w:r w:rsidR="002E1583">
              <w:t>te verliezen</w:t>
            </w:r>
            <w:r>
              <w:t xml:space="preserve"> of kan hij worden</w:t>
            </w:r>
            <w:r w:rsidR="00231856">
              <w:t xml:space="preserve"> onderworpen aan een vermindering of omzetting in aandelen (</w:t>
            </w:r>
            <w:proofErr w:type="spellStart"/>
            <w:r w:rsidR="00231856">
              <w:t>Bail</w:t>
            </w:r>
            <w:proofErr w:type="spellEnd"/>
            <w:r w:rsidR="00231856">
              <w:t>-in)</w:t>
            </w:r>
            <w:r>
              <w:t xml:space="preserve"> </w:t>
            </w:r>
            <w:r w:rsidR="00231856">
              <w:t>van</w:t>
            </w:r>
            <w:r>
              <w:t xml:space="preserve"> het bedrag van </w:t>
            </w:r>
            <w:r w:rsidR="00530CA9">
              <w:t xml:space="preserve">de </w:t>
            </w:r>
            <w:r>
              <w:t xml:space="preserve">vordering </w:t>
            </w:r>
            <w:r w:rsidR="00530CA9">
              <w:t xml:space="preserve">die hij heeft </w:t>
            </w:r>
            <w:r>
              <w:t xml:space="preserve">op de financiële instelling boven </w:t>
            </w:r>
            <w:r w:rsidR="00530CA9">
              <w:t xml:space="preserve">het bedrag van </w:t>
            </w:r>
            <w:r>
              <w:t xml:space="preserve">100.000 euro, dat </w:t>
            </w:r>
            <w:r w:rsidR="00530CA9">
              <w:t xml:space="preserve">valt </w:t>
            </w:r>
            <w:r>
              <w:t xml:space="preserve">onder </w:t>
            </w:r>
            <w:r w:rsidR="00530CA9">
              <w:t>de depositogarantie</w:t>
            </w:r>
            <w:r>
              <w:t xml:space="preserve">. Meer informatie over dit beschermingsmechanisme vindt u op de website van het </w:t>
            </w:r>
            <w:r w:rsidR="00530CA9">
              <w:t xml:space="preserve">Garantiefonds </w:t>
            </w:r>
            <w:r>
              <w:t xml:space="preserve">en </w:t>
            </w:r>
            <w:r w:rsidR="00530CA9">
              <w:t xml:space="preserve">het </w:t>
            </w:r>
            <w:r>
              <w:t>Beschermingsfonds (</w:t>
            </w:r>
            <w:r w:rsidR="00530CA9">
              <w:t>garantiefonds.</w:t>
            </w:r>
            <w:r>
              <w:t>belgium.be).</w:t>
            </w:r>
          </w:p>
          <w:p w14:paraId="48612F62" w14:textId="16B09459" w:rsidR="002050D1" w:rsidRDefault="00C46420" w:rsidP="00C46420">
            <w:pPr>
              <w:pStyle w:val="TableParagraph"/>
              <w:spacing w:before="1" w:line="249" w:lineRule="exact"/>
              <w:ind w:left="830"/>
            </w:pPr>
            <w:r>
              <w:rPr>
                <w:u w:val="single"/>
              </w:rPr>
              <w:t>Inflatierisico:</w:t>
            </w:r>
            <w:r>
              <w:t xml:space="preserve"> D</w:t>
            </w:r>
            <w:r w:rsidRPr="00C46420">
              <w:t xml:space="preserve">oor de aanhoudende prijsstijgingen kan het gestorte geld in waarde dalen. </w:t>
            </w:r>
          </w:p>
        </w:tc>
      </w:tr>
      <w:tr w:rsidR="002050D1" w14:paraId="0056F0A7" w14:textId="77777777">
        <w:trPr>
          <w:trHeight w:val="806"/>
        </w:trPr>
        <w:tc>
          <w:tcPr>
            <w:tcW w:w="9775" w:type="dxa"/>
            <w:gridSpan w:val="3"/>
          </w:tcPr>
          <w:p w14:paraId="320D6ED9" w14:textId="0F37CF76" w:rsidR="002050D1" w:rsidRDefault="00C46420">
            <w:pPr>
              <w:pStyle w:val="TableParagraph"/>
              <w:tabs>
                <w:tab w:val="left" w:pos="830"/>
              </w:tabs>
              <w:spacing w:line="268" w:lineRule="exact"/>
              <w:ind w:left="222"/>
            </w:pPr>
            <w:r>
              <w:rPr>
                <w:b/>
              </w:rPr>
              <w:t>VI.</w:t>
            </w:r>
            <w:r>
              <w:rPr>
                <w:b/>
              </w:rPr>
              <w:tab/>
            </w:r>
            <w:r w:rsidR="002E1583">
              <w:rPr>
                <w:b/>
              </w:rPr>
              <w:t xml:space="preserve">Andere </w:t>
            </w:r>
            <w:r>
              <w:rPr>
                <w:b/>
              </w:rPr>
              <w:t xml:space="preserve">: </w:t>
            </w:r>
            <w:r>
              <w:t>De op deze pagina beschreven spaarrekening(en) is/zijn (een) gereglementeerde</w:t>
            </w:r>
          </w:p>
          <w:p w14:paraId="48625B57" w14:textId="5939DD2D" w:rsidR="002050D1" w:rsidRDefault="00C46420" w:rsidP="002E1583">
            <w:pPr>
              <w:pStyle w:val="TableParagraph"/>
              <w:spacing w:line="270" w:lineRule="atLeast"/>
              <w:ind w:left="830"/>
            </w:pPr>
            <w:r>
              <w:t>spaarrekening(en) van bank XXX.</w:t>
            </w:r>
            <w:r w:rsidR="00C462F8">
              <w:t xml:space="preserve"> </w:t>
            </w:r>
            <w:r>
              <w:t>Dit (deze) product(en) is (zijn) onderworpen aan</w:t>
            </w:r>
            <w:r w:rsidR="002E1583">
              <w:t xml:space="preserve"> het</w:t>
            </w:r>
            <w:r>
              <w:t xml:space="preserve"> </w:t>
            </w:r>
            <w:r w:rsidRPr="001337AA">
              <w:rPr>
                <w:highlight w:val="yellow"/>
              </w:rPr>
              <w:t>Belgisc</w:t>
            </w:r>
            <w:r>
              <w:t xml:space="preserve">h recht en </w:t>
            </w:r>
            <w:r w:rsidR="002E1583">
              <w:t xml:space="preserve"> is (zijn) van </w:t>
            </w:r>
            <w:r>
              <w:t xml:space="preserve"> onbep</w:t>
            </w:r>
            <w:r w:rsidR="001337AA">
              <w:t>aalde</w:t>
            </w:r>
            <w:r>
              <w:t xml:space="preserve"> duur.</w:t>
            </w:r>
          </w:p>
        </w:tc>
      </w:tr>
      <w:tr w:rsidR="002050D1" w14:paraId="22179159" w14:textId="77777777">
        <w:trPr>
          <w:trHeight w:val="2145"/>
        </w:trPr>
        <w:tc>
          <w:tcPr>
            <w:tcW w:w="9775" w:type="dxa"/>
            <w:gridSpan w:val="3"/>
          </w:tcPr>
          <w:p w14:paraId="118B2503" w14:textId="77A334E2" w:rsidR="002050D1" w:rsidRDefault="00C46420" w:rsidP="001337AA">
            <w:pPr>
              <w:pStyle w:val="TableParagraph"/>
              <w:tabs>
                <w:tab w:val="left" w:pos="830"/>
              </w:tabs>
              <w:ind w:left="830" w:right="149" w:hanging="668"/>
            </w:pPr>
            <w:r>
              <w:rPr>
                <w:b/>
              </w:rPr>
              <w:t>VII.</w:t>
            </w:r>
            <w:r>
              <w:rPr>
                <w:b/>
              </w:rPr>
              <w:tab/>
              <w:t xml:space="preserve">Fiscaliteit: </w:t>
            </w:r>
            <w:r>
              <w:t>Er is geen roerende voorheffing verschuldigd op de eerste schijf</w:t>
            </w:r>
            <w:r w:rsidR="0088015C">
              <w:t xml:space="preserve"> interesten</w:t>
            </w:r>
            <w:r>
              <w:t xml:space="preserve"> (tot een plafond van EUR 1.020 voor het inkomstenjaar 2024) </w:t>
            </w:r>
            <w:r w:rsidR="00085FEF">
              <w:t xml:space="preserve">ontvangen </w:t>
            </w:r>
            <w:r>
              <w:t xml:space="preserve">per rekening, per natuurlijke persoon </w:t>
            </w:r>
            <w:r w:rsidR="00085FEF">
              <w:t xml:space="preserve">met verblijfplaats </w:t>
            </w:r>
            <w:r>
              <w:t>in België en per jaar. D</w:t>
            </w:r>
            <w:r w:rsidR="00085FEF">
              <w:t>a</w:t>
            </w:r>
            <w:r>
              <w:t>t bedrag wordt verdubbeld voor rekeningen geopend op naam van gehuwde</w:t>
            </w:r>
            <w:r w:rsidR="00085FEF">
              <w:t>n</w:t>
            </w:r>
            <w:r>
              <w:t xml:space="preserve"> of wettelijk samenwonende</w:t>
            </w:r>
            <w:r w:rsidR="00085FEF">
              <w:t>n</w:t>
            </w:r>
            <w:r>
              <w:t xml:space="preserve"> (</w:t>
            </w:r>
            <w:r w:rsidR="00085FEF">
              <w:t>m</w:t>
            </w:r>
            <w:r>
              <w:t>.</w:t>
            </w:r>
            <w:r w:rsidR="00085FEF">
              <w:t>a</w:t>
            </w:r>
            <w:r>
              <w:t>.</w:t>
            </w:r>
            <w:r w:rsidR="00085FEF">
              <w:t>w</w:t>
            </w:r>
            <w:r>
              <w:t xml:space="preserve">. een plafond van EUR 2.040 voor het inkomstenjaar 2024). De roerende voorheffing bedraagt 15% </w:t>
            </w:r>
            <w:r w:rsidR="00085FEF">
              <w:t xml:space="preserve">voor elke rentevergoeding die </w:t>
            </w:r>
            <w:r>
              <w:t>het plafond</w:t>
            </w:r>
            <w:r w:rsidR="00085FEF">
              <w:t xml:space="preserve"> overtreft en </w:t>
            </w:r>
            <w:r>
              <w:t xml:space="preserve">wordt automatisch </w:t>
            </w:r>
            <w:proofErr w:type="spellStart"/>
            <w:r w:rsidR="0088015C">
              <w:t>aan</w:t>
            </w:r>
            <w:r w:rsidR="00085FEF">
              <w:t>de</w:t>
            </w:r>
            <w:proofErr w:type="spellEnd"/>
            <w:r w:rsidR="00085FEF">
              <w:t xml:space="preserve"> bron ingehouden </w:t>
            </w:r>
            <w:r>
              <w:t>door uw bank</w:t>
            </w:r>
            <w:r w:rsidR="00085FEF">
              <w:t>. Als</w:t>
            </w:r>
            <w:r>
              <w:t xml:space="preserve"> u </w:t>
            </w:r>
            <w:r w:rsidR="00775C3A">
              <w:t xml:space="preserve">verschillende </w:t>
            </w:r>
            <w:r>
              <w:t xml:space="preserve">spaarrekeningen </w:t>
            </w:r>
            <w:r w:rsidR="00775C3A">
              <w:t>heeft</w:t>
            </w:r>
            <w:r>
              <w:t xml:space="preserve">, moet u op uw belastingaangifte de </w:t>
            </w:r>
            <w:r w:rsidR="001337AA" w:rsidRPr="001337AA">
              <w:t>rentevergoeding vermelden die het plafond overtreft, en waarop nog geen roerende voorheffing is ingehouden.</w:t>
            </w:r>
          </w:p>
        </w:tc>
      </w:tr>
      <w:tr w:rsidR="002050D1" w14:paraId="15D178C1" w14:textId="77777777">
        <w:trPr>
          <w:trHeight w:val="806"/>
        </w:trPr>
        <w:tc>
          <w:tcPr>
            <w:tcW w:w="9775" w:type="dxa"/>
            <w:gridSpan w:val="3"/>
          </w:tcPr>
          <w:p w14:paraId="7D2FD214" w14:textId="250045AC" w:rsidR="002050D1" w:rsidRDefault="00C46420">
            <w:pPr>
              <w:pStyle w:val="TableParagraph"/>
              <w:tabs>
                <w:tab w:val="left" w:pos="830"/>
              </w:tabs>
              <w:spacing w:line="268" w:lineRule="exact"/>
              <w:ind w:left="105"/>
            </w:pPr>
            <w:r>
              <w:rPr>
                <w:b/>
              </w:rPr>
              <w:t>VII.</w:t>
            </w:r>
            <w:r>
              <w:rPr>
                <w:b/>
              </w:rPr>
              <w:tab/>
              <w:t xml:space="preserve">Klachten: </w:t>
            </w:r>
            <w:r>
              <w:t>Voor klachten k</w:t>
            </w:r>
            <w:r w:rsidR="00501D8B">
              <w:t>an</w:t>
            </w:r>
            <w:r>
              <w:t xml:space="preserve"> u </w:t>
            </w:r>
            <w:r w:rsidR="00501D8B">
              <w:t>terecht bij</w:t>
            </w:r>
            <w:r>
              <w:t xml:space="preserve"> </w:t>
            </w:r>
            <w:r>
              <w:rPr>
                <w:color w:val="000000"/>
                <w:highlight w:val="yellow"/>
              </w:rPr>
              <w:t>de interne klachtendienst</w:t>
            </w:r>
            <w:r>
              <w:rPr>
                <w:color w:val="000000"/>
              </w:rPr>
              <w:t>.</w:t>
            </w:r>
          </w:p>
          <w:p w14:paraId="2E9B45CC" w14:textId="167DAAF5" w:rsidR="002050D1" w:rsidRDefault="00C46420" w:rsidP="00501D8B">
            <w:pPr>
              <w:pStyle w:val="TableParagraph"/>
              <w:spacing w:line="270" w:lineRule="atLeast"/>
              <w:ind w:left="830" w:right="193"/>
            </w:pPr>
            <w:r>
              <w:t xml:space="preserve">Indien </w:t>
            </w:r>
            <w:r w:rsidR="00501D8B" w:rsidRPr="00501D8B">
              <w:t xml:space="preserve">het geschil langs die weg niet opgelost raakt, kan u een beroep doen op </w:t>
            </w:r>
            <w:r>
              <w:t>de Ombudsman voor financiële geschillen (</w:t>
            </w:r>
            <w:hyperlink r:id="rId4">
              <w:r>
                <w:rPr>
                  <w:u w:val="single"/>
                </w:rPr>
                <w:t>www.ombudsfin.be</w:t>
              </w:r>
            </w:hyperlink>
            <w:r>
              <w:t xml:space="preserve"> ).</w:t>
            </w:r>
          </w:p>
        </w:tc>
      </w:tr>
    </w:tbl>
    <w:p w14:paraId="20124F32" w14:textId="77777777" w:rsidR="006E0F0C" w:rsidRDefault="006E0F0C"/>
    <w:sectPr w:rsidR="006E0F0C">
      <w:pgSz w:w="11910" w:h="16840"/>
      <w:pgMar w:top="1380" w:right="6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0D1"/>
    <w:rsid w:val="00085FEF"/>
    <w:rsid w:val="000F57F0"/>
    <w:rsid w:val="001337AA"/>
    <w:rsid w:val="002050D1"/>
    <w:rsid w:val="00231856"/>
    <w:rsid w:val="00267FD4"/>
    <w:rsid w:val="002E1583"/>
    <w:rsid w:val="00355C24"/>
    <w:rsid w:val="0043192B"/>
    <w:rsid w:val="00491960"/>
    <w:rsid w:val="004E30BC"/>
    <w:rsid w:val="004E74B4"/>
    <w:rsid w:val="00501D8B"/>
    <w:rsid w:val="00530CA9"/>
    <w:rsid w:val="005C535D"/>
    <w:rsid w:val="00635781"/>
    <w:rsid w:val="006B1EFE"/>
    <w:rsid w:val="006E0F0C"/>
    <w:rsid w:val="00775C3A"/>
    <w:rsid w:val="0088015C"/>
    <w:rsid w:val="00946FA5"/>
    <w:rsid w:val="00997A1F"/>
    <w:rsid w:val="00A03810"/>
    <w:rsid w:val="00A07144"/>
    <w:rsid w:val="00AD64DD"/>
    <w:rsid w:val="00AF19EA"/>
    <w:rsid w:val="00B00C6E"/>
    <w:rsid w:val="00C462F8"/>
    <w:rsid w:val="00C46420"/>
    <w:rsid w:val="00D85E3A"/>
    <w:rsid w:val="00E0761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A354"/>
  <w15:docId w15:val="{F5DFA44D-2C5D-4727-B78B-A5B5EBC8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5"/>
      <w:ind w:left="231"/>
    </w:pPr>
  </w:style>
  <w:style w:type="paragraph" w:styleId="Title">
    <w:name w:val="Title"/>
    <w:basedOn w:val="Normal"/>
    <w:uiPriority w:val="10"/>
    <w:qFormat/>
    <w:pPr>
      <w:spacing w:before="31"/>
      <w:ind w:left="231"/>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07613"/>
    <w:rPr>
      <w:sz w:val="16"/>
      <w:szCs w:val="16"/>
    </w:rPr>
  </w:style>
  <w:style w:type="paragraph" w:styleId="CommentText">
    <w:name w:val="annotation text"/>
    <w:basedOn w:val="Normal"/>
    <w:link w:val="CommentTextChar"/>
    <w:uiPriority w:val="99"/>
    <w:semiHidden/>
    <w:unhideWhenUsed/>
    <w:rsid w:val="00E07613"/>
    <w:rPr>
      <w:sz w:val="20"/>
      <w:szCs w:val="20"/>
    </w:rPr>
  </w:style>
  <w:style w:type="character" w:customStyle="1" w:styleId="CommentTextChar">
    <w:name w:val="Comment Text Char"/>
    <w:basedOn w:val="DefaultParagraphFont"/>
    <w:link w:val="CommentText"/>
    <w:uiPriority w:val="99"/>
    <w:semiHidden/>
    <w:rsid w:val="00E0761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07613"/>
    <w:rPr>
      <w:b/>
      <w:bCs/>
    </w:rPr>
  </w:style>
  <w:style w:type="character" w:customStyle="1" w:styleId="CommentSubjectChar">
    <w:name w:val="Comment Subject Char"/>
    <w:basedOn w:val="CommentTextChar"/>
    <w:link w:val="CommentSubject"/>
    <w:uiPriority w:val="99"/>
    <w:semiHidden/>
    <w:rsid w:val="00E07613"/>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E076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613"/>
    <w:rPr>
      <w:rFonts w:ascii="Segoe UI" w:eastAsia="Calibri" w:hAnsi="Segoe UI" w:cs="Segoe UI"/>
      <w:sz w:val="18"/>
      <w:szCs w:val="18"/>
    </w:rPr>
  </w:style>
  <w:style w:type="paragraph" w:styleId="Revision">
    <w:name w:val="Revision"/>
    <w:hidden/>
    <w:uiPriority w:val="99"/>
    <w:semiHidden/>
    <w:rsid w:val="00267FD4"/>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mbudsfin.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1067</Words>
  <Characters>6083</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Microsoft Word - 20231213_Template webpagina</vt:lpstr>
      <vt:lpstr>Microsoft Word - 20231213_Template webpagina</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- 20231213_Template webpagina</dc:title>
  <dc:creator>Van Duyse, Nathalie</dc:creator>
  <cp:lastModifiedBy>Ivo Van Bulck</cp:lastModifiedBy>
  <cp:revision>5</cp:revision>
  <dcterms:created xsi:type="dcterms:W3CDTF">2023-12-15T15:48:00Z</dcterms:created>
  <dcterms:modified xsi:type="dcterms:W3CDTF">2023-12-18T07:20:00Z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LastSaved">
    <vt:filetime>2023-12-14T00:00:00Z</vt:filetime>
  </property>
  <property fmtid="{D5CDD505-2E9C-101B-9397-08002B2CF9AE}" pid="4" name="Producer">
    <vt:lpwstr>Microsoft: Print To PDF</vt:lpwstr>
  </property>
  <property fmtid="{D5CDD505-2E9C-101B-9397-08002B2CF9AE}" pid="6" name="_NewReviewCycle">
    <vt:lpwstr/>
  </property>
</Properties>
</file>