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FC24" w14:textId="77777777" w:rsidR="00C81DF2" w:rsidRPr="00FA7B34" w:rsidRDefault="003D17AE">
      <w:pPr>
        <w:pStyle w:val="Title"/>
      </w:pPr>
      <w:r w:rsidRPr="00FA7B34">
        <w:rPr>
          <w:noProof/>
          <w:lang w:eastAsia="fr-BE"/>
        </w:rPr>
        <mc:AlternateContent>
          <mc:Choice Requires="wpg">
            <w:drawing>
              <wp:anchor distT="0" distB="0" distL="0" distR="0" simplePos="0" relativeHeight="487446016" behindDoc="1" locked="0" layoutInCell="1" allowOverlap="1" wp14:anchorId="0970BCC2" wp14:editId="4506182C">
                <wp:simplePos x="0" y="0"/>
                <wp:positionH relativeFrom="page">
                  <wp:posOffset>899160</wp:posOffset>
                </wp:positionH>
                <wp:positionV relativeFrom="page">
                  <wp:posOffset>899160</wp:posOffset>
                </wp:positionV>
                <wp:extent cx="6213475" cy="87268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3475" cy="8726805"/>
                          <a:chOff x="0" y="0"/>
                          <a:chExt cx="6213475" cy="8726805"/>
                        </a:xfrm>
                      </wpg:grpSpPr>
                      <wps:wsp>
                        <wps:cNvPr id="2" name="Graphic 2"/>
                        <wps:cNvSpPr/>
                        <wps:spPr>
                          <a:xfrm>
                            <a:off x="7619" y="7619"/>
                            <a:ext cx="6201410" cy="969644"/>
                          </a:xfrm>
                          <a:custGeom>
                            <a:avLst/>
                            <a:gdLst/>
                            <a:ahLst/>
                            <a:cxnLst/>
                            <a:rect l="l" t="t" r="r" b="b"/>
                            <a:pathLst>
                              <a:path w="6201410" h="969644">
                                <a:moveTo>
                                  <a:pt x="6201155" y="969264"/>
                                </a:moveTo>
                                <a:lnTo>
                                  <a:pt x="0" y="969264"/>
                                </a:lnTo>
                                <a:lnTo>
                                  <a:pt x="0" y="0"/>
                                </a:lnTo>
                                <a:lnTo>
                                  <a:pt x="6201155" y="0"/>
                                </a:lnTo>
                                <a:lnTo>
                                  <a:pt x="6201155" y="969264"/>
                                </a:lnTo>
                                <a:close/>
                              </a:path>
                            </a:pathLst>
                          </a:custGeom>
                          <a:solidFill>
                            <a:srgbClr val="E6E6E6"/>
                          </a:solidFill>
                        </wps:spPr>
                        <wps:bodyPr wrap="square" lIns="0" tIns="0" rIns="0" bIns="0" rtlCol="0">
                          <a:prstTxWarp prst="textNoShape">
                            <a:avLst/>
                          </a:prstTxWarp>
                          <a:noAutofit/>
                        </wps:bodyPr>
                      </wps:wsp>
                      <wps:wsp>
                        <wps:cNvPr id="3" name="Graphic 3"/>
                        <wps:cNvSpPr/>
                        <wps:spPr>
                          <a:xfrm>
                            <a:off x="0" y="0"/>
                            <a:ext cx="6213475" cy="8726805"/>
                          </a:xfrm>
                          <a:custGeom>
                            <a:avLst/>
                            <a:gdLst/>
                            <a:ahLst/>
                            <a:cxnLst/>
                            <a:rect l="l" t="t" r="r" b="b"/>
                            <a:pathLst>
                              <a:path w="6213475" h="8726805">
                                <a:moveTo>
                                  <a:pt x="6213335" y="0"/>
                                </a:moveTo>
                                <a:lnTo>
                                  <a:pt x="6207252" y="0"/>
                                </a:lnTo>
                                <a:lnTo>
                                  <a:pt x="6207252" y="6096"/>
                                </a:lnTo>
                                <a:lnTo>
                                  <a:pt x="6207252" y="976884"/>
                                </a:lnTo>
                                <a:lnTo>
                                  <a:pt x="6207252" y="982980"/>
                                </a:lnTo>
                                <a:lnTo>
                                  <a:pt x="6207252" y="8720328"/>
                                </a:lnTo>
                                <a:lnTo>
                                  <a:pt x="6121895" y="8720328"/>
                                </a:lnTo>
                                <a:lnTo>
                                  <a:pt x="6121895" y="8714232"/>
                                </a:lnTo>
                                <a:lnTo>
                                  <a:pt x="6121895" y="1842516"/>
                                </a:lnTo>
                                <a:lnTo>
                                  <a:pt x="6121895" y="1836420"/>
                                </a:lnTo>
                                <a:lnTo>
                                  <a:pt x="6115799" y="1836420"/>
                                </a:lnTo>
                                <a:lnTo>
                                  <a:pt x="6115799" y="1842516"/>
                                </a:lnTo>
                                <a:lnTo>
                                  <a:pt x="6115799" y="8714232"/>
                                </a:lnTo>
                                <a:lnTo>
                                  <a:pt x="79248" y="8714232"/>
                                </a:lnTo>
                                <a:lnTo>
                                  <a:pt x="79248" y="1842516"/>
                                </a:lnTo>
                                <a:lnTo>
                                  <a:pt x="6115799" y="1842516"/>
                                </a:lnTo>
                                <a:lnTo>
                                  <a:pt x="6115799" y="1836420"/>
                                </a:lnTo>
                                <a:lnTo>
                                  <a:pt x="73152" y="1836420"/>
                                </a:lnTo>
                                <a:lnTo>
                                  <a:pt x="73152" y="1842516"/>
                                </a:lnTo>
                                <a:lnTo>
                                  <a:pt x="73152" y="8714232"/>
                                </a:lnTo>
                                <a:lnTo>
                                  <a:pt x="73152" y="8720328"/>
                                </a:lnTo>
                                <a:lnTo>
                                  <a:pt x="6096" y="8720328"/>
                                </a:lnTo>
                                <a:lnTo>
                                  <a:pt x="6096" y="982980"/>
                                </a:lnTo>
                                <a:lnTo>
                                  <a:pt x="6207252" y="982980"/>
                                </a:lnTo>
                                <a:lnTo>
                                  <a:pt x="6207252" y="976884"/>
                                </a:lnTo>
                                <a:lnTo>
                                  <a:pt x="6096" y="976884"/>
                                </a:lnTo>
                                <a:lnTo>
                                  <a:pt x="6096" y="6096"/>
                                </a:lnTo>
                                <a:lnTo>
                                  <a:pt x="6207252" y="6096"/>
                                </a:lnTo>
                                <a:lnTo>
                                  <a:pt x="6207252" y="0"/>
                                </a:lnTo>
                                <a:lnTo>
                                  <a:pt x="0" y="0"/>
                                </a:lnTo>
                                <a:lnTo>
                                  <a:pt x="0" y="6096"/>
                                </a:lnTo>
                                <a:lnTo>
                                  <a:pt x="0" y="976884"/>
                                </a:lnTo>
                                <a:lnTo>
                                  <a:pt x="0" y="982980"/>
                                </a:lnTo>
                                <a:lnTo>
                                  <a:pt x="0" y="8720328"/>
                                </a:lnTo>
                                <a:lnTo>
                                  <a:pt x="0" y="8726424"/>
                                </a:lnTo>
                                <a:lnTo>
                                  <a:pt x="6096" y="8726424"/>
                                </a:lnTo>
                                <a:lnTo>
                                  <a:pt x="6207252" y="8726424"/>
                                </a:lnTo>
                                <a:lnTo>
                                  <a:pt x="6213335" y="8726424"/>
                                </a:lnTo>
                                <a:lnTo>
                                  <a:pt x="6213335" y="8720328"/>
                                </a:lnTo>
                                <a:lnTo>
                                  <a:pt x="6213335" y="982980"/>
                                </a:lnTo>
                                <a:lnTo>
                                  <a:pt x="6213335" y="976884"/>
                                </a:lnTo>
                                <a:lnTo>
                                  <a:pt x="6213335" y="6096"/>
                                </a:lnTo>
                                <a:lnTo>
                                  <a:pt x="62133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A75074" id="Group 1" o:spid="_x0000_s1026" style="position:absolute;margin-left:70.8pt;margin-top:70.8pt;width:489.25pt;height:687.15pt;z-index:-15870464;mso-wrap-distance-left:0;mso-wrap-distance-right:0;mso-position-horizontal-relative:page;mso-position-vertical-relative:page" coordsize="62134,8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">
                <v:shape id="Graphic 2" o:spid="_x0000_s1027" style="position:absolute;left:76;top:76;width:62014;height:9696;visibility:visible;mso-wrap-style:square;v-text-anchor:top" coordsize="620141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" path="m6201155,969264l,969264,,,6201155,r,969264xe" fillcolor="#e6e6e6" stroked="f">
                  <v:path arrowok="t"/>
                </v:shape>
                <v:shape id="Graphic 3" o:spid="_x0000_s1028" style="position:absolute;width:62134;height:87268;visibility:visible;mso-wrap-style:square;v-text-anchor:top" coordsize="6213475,872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" path="m6213335,r-6083,l6207252,6096r,970788l6207252,982980r,7737348l6121895,8720328r,-6096l6121895,1842516r,-6096l6115799,1836420r,6096l6115799,8714232r-6036551,l79248,1842516r6036551,l6115799,1836420r-6042647,l73152,1842516r,6871716l73152,8720328r-67056,l6096,982980r6201156,l6207252,976884r-6201156,l6096,6096r6201156,l6207252,,,,,6096,,976884r,6096l,8720328r,6096l6096,8726424r6201156,l6213335,8726424r,-6096l6213335,982980r,-6096l6213335,6096r,-6096xe" fillcolor="black" stroked="f">
                  <v:path arrowok="t"/>
                </v:shape>
                <w10:wrap anchorx="page" anchory="page"/>
              </v:group>
            </w:pict>
          </mc:Fallback>
        </mc:AlternateContent>
      </w:r>
      <w:r w:rsidRPr="00FA7B34">
        <w:t xml:space="preserve">Compte(s) d’épargne réglementé(s) commercialisé(s) par la banque </w:t>
      </w:r>
      <w:r w:rsidRPr="00FA7B34">
        <w:rPr>
          <w:color w:val="000000"/>
          <w:highlight w:val="yellow"/>
        </w:rPr>
        <w:t>XXX</w:t>
      </w:r>
    </w:p>
    <w:p w14:paraId="2B15EAEA" w14:textId="3D90D6E8" w:rsidR="00C81DF2" w:rsidRPr="00FA7B34" w:rsidRDefault="003D17AE">
      <w:pPr>
        <w:pStyle w:val="BodyText"/>
        <w:spacing w:before="23" w:line="259" w:lineRule="auto"/>
        <w:ind w:right="276"/>
      </w:pPr>
      <w:r w:rsidRPr="00FA7B34">
        <w:t>[</w:t>
      </w:r>
      <w:r w:rsidR="00BF3151">
        <w:t>Optionnel</w:t>
      </w:r>
      <w:r w:rsidR="006743A4">
        <w:t> :</w:t>
      </w:r>
      <w:r w:rsidRPr="00FA7B34">
        <w:t xml:space="preserve"> Dans un souci de transparence accrue pour l’épargnant, cette page web, destinée aux clients et non-clients, vous est proposée.] Cette page web contient une synthèse de toutes les informations pertinentes relatives aux [maximum] 4 formules différentes d’épargne réglementée proposées par </w:t>
      </w:r>
      <w:r w:rsidRPr="00FA7B34">
        <w:rPr>
          <w:color w:val="000000"/>
          <w:highlight w:val="yellow"/>
        </w:rPr>
        <w:t>Banque X</w:t>
      </w:r>
      <w:r w:rsidRPr="00FA7B34">
        <w:rPr>
          <w:color w:val="000000"/>
        </w:rPr>
        <w:t>.[, à choisir parmi 3 catégories.]</w:t>
      </w:r>
    </w:p>
    <w:p w14:paraId="02E1D3FA" w14:textId="77777777" w:rsidR="00C81DF2" w:rsidRPr="00FA7B34" w:rsidRDefault="003D17AE">
      <w:pPr>
        <w:pStyle w:val="BodyText"/>
        <w:spacing w:before="9"/>
        <w:ind w:right="209"/>
        <w:jc w:val="both"/>
      </w:pPr>
      <w:r w:rsidRPr="00FA7B34">
        <w:t>En cas de transfert d'un compte d'épargne vers un autre compte d'épargne ouvert au nom du même titulaire auprès d’un même établissement, autrement qu'en vertu d'un ordre permanent, la période de constitution de la prime de fidélité sur le premier compte d'épargne reste acquise, à condition que le montant du transfert s’élève à 500 euros minimum et que le titulaire concerné n'ait pas déjà exécuté trois transferts de ce type à partir du même compte d'épargne au cours de la même année civile.</w:t>
      </w:r>
    </w:p>
    <w:p w14:paraId="2C8DBD71" w14:textId="78915CDE" w:rsidR="00C81DF2" w:rsidRPr="00FA7B34" w:rsidRDefault="003D17AE">
      <w:pPr>
        <w:spacing w:before="11"/>
        <w:ind w:left="1064" w:right="1035" w:hanging="478"/>
        <w:jc w:val="both"/>
        <w:rPr>
          <w:b/>
        </w:rPr>
      </w:pPr>
      <w:r w:rsidRPr="00FA7B34">
        <w:rPr>
          <w:b/>
        </w:rPr>
        <w:t xml:space="preserve">I. </w:t>
      </w:r>
      <w:r w:rsidRPr="00FA7B34">
        <w:rPr>
          <w:b/>
          <w:color w:val="000000"/>
          <w:highlight w:val="lightGray"/>
        </w:rPr>
        <w:t xml:space="preserve">Informations sur les taux et modalités des comptes d’épargne réglementés (le rendement </w:t>
      </w:r>
      <w:r w:rsidR="00BF3151">
        <w:rPr>
          <w:b/>
          <w:color w:val="000000"/>
          <w:highlight w:val="lightGray"/>
        </w:rPr>
        <w:t xml:space="preserve">le plus élevé </w:t>
      </w:r>
      <w:r w:rsidRPr="00FA7B34">
        <w:rPr>
          <w:b/>
          <w:color w:val="000000"/>
          <w:highlight w:val="lightGray"/>
        </w:rPr>
        <w:t>après 12 mois est mentionné en premier).</w:t>
      </w:r>
    </w:p>
    <w:p w14:paraId="54A9648E" w14:textId="217503AA" w:rsidR="00C81DF2" w:rsidRPr="00FA7B34" w:rsidRDefault="003D17AE">
      <w:pPr>
        <w:ind w:left="343" w:right="358"/>
        <w:jc w:val="both"/>
        <w:rPr>
          <w:b/>
          <w:i/>
        </w:rPr>
      </w:pPr>
      <w:r w:rsidRPr="00FA7B34">
        <w:t xml:space="preserve">La rémunération est toujours composée d'un intérêt de base et d'une prime de fidélité. </w:t>
      </w:r>
      <w:r w:rsidRPr="00FA7B34">
        <w:rPr>
          <w:b/>
          <w:i/>
        </w:rPr>
        <w:t xml:space="preserve">Attention, l’addition du taux de base et de la prime de </w:t>
      </w:r>
      <w:r w:rsidR="001C1D89" w:rsidRPr="00FA7B34">
        <w:rPr>
          <w:b/>
          <w:i/>
        </w:rPr>
        <w:t>fidélité</w:t>
      </w:r>
      <w:r w:rsidRPr="00FA7B34">
        <w:rPr>
          <w:b/>
          <w:i/>
        </w:rPr>
        <w:t xml:space="preserve"> n'est valable qu’aujourd'hui pour un montant qui reste sur votre compte pendant 1 an et tant que le taux d’intérêt de base ne change pas!</w:t>
      </w:r>
    </w:p>
    <w:p w14:paraId="01837787" w14:textId="77777777" w:rsidR="00C81DF2" w:rsidRPr="00FA7B34" w:rsidRDefault="003D17AE">
      <w:pPr>
        <w:pStyle w:val="BodyText"/>
        <w:spacing w:before="267"/>
        <w:ind w:left="343"/>
      </w:pPr>
      <w:r w:rsidRPr="00FA7B34">
        <w:t>Avant d'ouvrir un compte d'épargne, il est nécessaire de lire le document d'informations clés pour l'épargnant.</w:t>
      </w: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1080"/>
        <w:gridCol w:w="1418"/>
        <w:gridCol w:w="1557"/>
        <w:gridCol w:w="2551"/>
        <w:gridCol w:w="2126"/>
      </w:tblGrid>
      <w:tr w:rsidR="00C81DF2" w:rsidRPr="00FA7B34" w14:paraId="55C81693" w14:textId="77777777">
        <w:trPr>
          <w:trHeight w:val="287"/>
        </w:trPr>
        <w:tc>
          <w:tcPr>
            <w:tcW w:w="521" w:type="dxa"/>
            <w:vMerge w:val="restart"/>
            <w:tcBorders>
              <w:bottom w:val="nil"/>
            </w:tcBorders>
          </w:tcPr>
          <w:p w14:paraId="2B8D24A6" w14:textId="77777777" w:rsidR="00C81DF2" w:rsidRPr="00FA7B34" w:rsidRDefault="00C81DF2">
            <w:pPr>
              <w:pStyle w:val="TableParagraph"/>
            </w:pPr>
          </w:p>
          <w:p w14:paraId="60C3CD65" w14:textId="77777777" w:rsidR="00C81DF2" w:rsidRPr="00FA7B34" w:rsidRDefault="00C81DF2">
            <w:pPr>
              <w:pStyle w:val="TableParagraph"/>
              <w:spacing w:before="182"/>
            </w:pPr>
          </w:p>
          <w:p w14:paraId="52AB7FE8" w14:textId="77777777" w:rsidR="00C81DF2" w:rsidRPr="00FA7B34" w:rsidRDefault="003D17AE">
            <w:pPr>
              <w:pStyle w:val="TableParagraph"/>
              <w:ind w:left="8"/>
              <w:jc w:val="center"/>
              <w:rPr>
                <w:b/>
              </w:rPr>
            </w:pPr>
            <w:r w:rsidRPr="00FA7B34">
              <w:rPr>
                <w:b/>
              </w:rPr>
              <w:t>1</w:t>
            </w:r>
          </w:p>
        </w:tc>
        <w:tc>
          <w:tcPr>
            <w:tcW w:w="8732" w:type="dxa"/>
            <w:gridSpan w:val="5"/>
          </w:tcPr>
          <w:p w14:paraId="1856D222" w14:textId="77777777" w:rsidR="00C81DF2" w:rsidRPr="00FA7B34" w:rsidRDefault="003D17AE">
            <w:pPr>
              <w:pStyle w:val="TableParagraph"/>
              <w:spacing w:before="18" w:line="249" w:lineRule="exact"/>
              <w:ind w:left="4"/>
              <w:jc w:val="center"/>
              <w:rPr>
                <w:b/>
              </w:rPr>
            </w:pPr>
            <w:r w:rsidRPr="00FA7B34">
              <w:rPr>
                <w:b/>
              </w:rPr>
              <w:t>Nom officiel complet du compte d’épargne</w:t>
            </w:r>
          </w:p>
        </w:tc>
      </w:tr>
      <w:tr w:rsidR="00C81DF2" w:rsidRPr="00FA7B34" w14:paraId="52C0B6C2" w14:textId="77777777">
        <w:trPr>
          <w:trHeight w:val="537"/>
        </w:trPr>
        <w:tc>
          <w:tcPr>
            <w:tcW w:w="521" w:type="dxa"/>
            <w:vMerge/>
            <w:tcBorders>
              <w:top w:val="nil"/>
              <w:bottom w:val="nil"/>
            </w:tcBorders>
          </w:tcPr>
          <w:p w14:paraId="7816F664" w14:textId="77777777" w:rsidR="00C81DF2" w:rsidRPr="00FA7B34" w:rsidRDefault="00C81DF2">
            <w:pPr>
              <w:rPr>
                <w:sz w:val="2"/>
                <w:szCs w:val="2"/>
              </w:rPr>
            </w:pPr>
          </w:p>
        </w:tc>
        <w:tc>
          <w:tcPr>
            <w:tcW w:w="1080" w:type="dxa"/>
          </w:tcPr>
          <w:p w14:paraId="23F7573C" w14:textId="77777777" w:rsidR="00C81DF2" w:rsidRPr="00FA7B34" w:rsidRDefault="003D17AE">
            <w:pPr>
              <w:pStyle w:val="TableParagraph"/>
              <w:spacing w:before="268" w:line="249" w:lineRule="exact"/>
              <w:ind w:right="118"/>
              <w:jc w:val="right"/>
              <w:rPr>
                <w:b/>
              </w:rPr>
            </w:pPr>
            <w:r w:rsidRPr="00FA7B34">
              <w:rPr>
                <w:b/>
              </w:rPr>
              <w:t>Catégorie</w:t>
            </w:r>
          </w:p>
        </w:tc>
        <w:tc>
          <w:tcPr>
            <w:tcW w:w="1418" w:type="dxa"/>
          </w:tcPr>
          <w:p w14:paraId="62DA6AD7" w14:textId="77777777" w:rsidR="00C81DF2" w:rsidRPr="00FA7B34" w:rsidRDefault="003D17AE">
            <w:pPr>
              <w:pStyle w:val="TableParagraph"/>
              <w:spacing w:before="1" w:line="267" w:lineRule="exact"/>
              <w:ind w:left="66"/>
              <w:rPr>
                <w:b/>
              </w:rPr>
            </w:pPr>
            <w:r w:rsidRPr="00FA7B34">
              <w:rPr>
                <w:b/>
              </w:rPr>
              <w:t>Intérêt de</w:t>
            </w:r>
          </w:p>
          <w:p w14:paraId="7041B655" w14:textId="26EB4370" w:rsidR="00C81DF2" w:rsidRPr="00FA7B34" w:rsidRDefault="00D160A9">
            <w:pPr>
              <w:pStyle w:val="TableParagraph"/>
              <w:spacing w:line="248" w:lineRule="exact"/>
              <w:ind w:left="66"/>
              <w:rPr>
                <w:b/>
              </w:rPr>
            </w:pPr>
            <w:r w:rsidRPr="00FA7B34">
              <w:rPr>
                <w:b/>
              </w:rPr>
              <w:t>B</w:t>
            </w:r>
            <w:r w:rsidR="003D17AE" w:rsidRPr="00FA7B34">
              <w:rPr>
                <w:b/>
              </w:rPr>
              <w:t>ase</w:t>
            </w:r>
          </w:p>
        </w:tc>
        <w:tc>
          <w:tcPr>
            <w:tcW w:w="1557" w:type="dxa"/>
          </w:tcPr>
          <w:p w14:paraId="23FCE13A" w14:textId="77777777" w:rsidR="00C81DF2" w:rsidRPr="00FA7B34" w:rsidRDefault="003D17AE">
            <w:pPr>
              <w:pStyle w:val="TableParagraph"/>
              <w:spacing w:before="1" w:line="267" w:lineRule="exact"/>
              <w:ind w:left="67"/>
              <w:rPr>
                <w:b/>
              </w:rPr>
            </w:pPr>
            <w:r w:rsidRPr="00FA7B34">
              <w:rPr>
                <w:b/>
              </w:rPr>
              <w:t>Prime de</w:t>
            </w:r>
          </w:p>
          <w:p w14:paraId="37593BC6" w14:textId="1DD2B99B" w:rsidR="00C81DF2" w:rsidRPr="00FA7B34" w:rsidRDefault="00BF3151">
            <w:pPr>
              <w:pStyle w:val="TableParagraph"/>
              <w:spacing w:line="248" w:lineRule="exact"/>
              <w:ind w:left="67"/>
              <w:rPr>
                <w:b/>
              </w:rPr>
            </w:pPr>
            <w:r w:rsidRPr="00FA7B34">
              <w:rPr>
                <w:b/>
              </w:rPr>
              <w:t>F</w:t>
            </w:r>
            <w:r w:rsidR="003D17AE" w:rsidRPr="00FA7B34">
              <w:rPr>
                <w:b/>
              </w:rPr>
              <w:t>idélité</w:t>
            </w:r>
          </w:p>
        </w:tc>
        <w:tc>
          <w:tcPr>
            <w:tcW w:w="2551" w:type="dxa"/>
          </w:tcPr>
          <w:p w14:paraId="7556DC44" w14:textId="77777777" w:rsidR="00C81DF2" w:rsidRPr="00FA7B34" w:rsidRDefault="003D17AE">
            <w:pPr>
              <w:pStyle w:val="TableParagraph"/>
              <w:spacing w:before="1" w:line="267" w:lineRule="exact"/>
              <w:ind w:left="70"/>
              <w:rPr>
                <w:b/>
              </w:rPr>
            </w:pPr>
            <w:r w:rsidRPr="00FA7B34">
              <w:rPr>
                <w:b/>
              </w:rPr>
              <w:t>Addition du taux de base</w:t>
            </w:r>
          </w:p>
          <w:p w14:paraId="204D0588" w14:textId="77777777" w:rsidR="00C81DF2" w:rsidRPr="00FA7B34" w:rsidRDefault="003D17AE">
            <w:pPr>
              <w:pStyle w:val="TableParagraph"/>
              <w:spacing w:line="248" w:lineRule="exact"/>
              <w:ind w:left="70"/>
              <w:rPr>
                <w:b/>
              </w:rPr>
            </w:pPr>
            <w:r w:rsidRPr="00FA7B34">
              <w:rPr>
                <w:b/>
              </w:rPr>
              <w:t>et de la prime de fidélité</w:t>
            </w:r>
          </w:p>
        </w:tc>
        <w:tc>
          <w:tcPr>
            <w:tcW w:w="2126" w:type="dxa"/>
          </w:tcPr>
          <w:p w14:paraId="45D9EA61" w14:textId="77777777" w:rsidR="00C81DF2" w:rsidRPr="00FA7B34" w:rsidRDefault="003D17AE">
            <w:pPr>
              <w:pStyle w:val="TableParagraph"/>
              <w:spacing w:before="1" w:line="267" w:lineRule="exact"/>
              <w:ind w:left="70"/>
              <w:rPr>
                <w:b/>
              </w:rPr>
            </w:pPr>
            <w:r w:rsidRPr="00FA7B34">
              <w:rPr>
                <w:b/>
              </w:rPr>
              <w:t>Conditions</w:t>
            </w:r>
          </w:p>
          <w:p w14:paraId="54015903" w14:textId="77777777" w:rsidR="00C81DF2" w:rsidRPr="00FA7B34" w:rsidRDefault="003D17AE">
            <w:pPr>
              <w:pStyle w:val="TableParagraph"/>
              <w:spacing w:line="248" w:lineRule="exact"/>
              <w:ind w:left="70"/>
              <w:rPr>
                <w:b/>
              </w:rPr>
            </w:pPr>
            <w:r w:rsidRPr="00FA7B34">
              <w:rPr>
                <w:b/>
              </w:rPr>
              <w:t>applicables</w:t>
            </w:r>
          </w:p>
        </w:tc>
      </w:tr>
      <w:tr w:rsidR="00C81DF2" w:rsidRPr="00FA7B34" w14:paraId="2DBBB08E" w14:textId="77777777">
        <w:trPr>
          <w:trHeight w:val="578"/>
        </w:trPr>
        <w:tc>
          <w:tcPr>
            <w:tcW w:w="521" w:type="dxa"/>
            <w:vMerge/>
            <w:tcBorders>
              <w:top w:val="nil"/>
              <w:bottom w:val="nil"/>
            </w:tcBorders>
          </w:tcPr>
          <w:p w14:paraId="4630152E" w14:textId="77777777" w:rsidR="00C81DF2" w:rsidRPr="00FA7B34" w:rsidRDefault="00C81DF2">
            <w:pPr>
              <w:rPr>
                <w:sz w:val="2"/>
                <w:szCs w:val="2"/>
              </w:rPr>
            </w:pPr>
          </w:p>
        </w:tc>
        <w:tc>
          <w:tcPr>
            <w:tcW w:w="1080" w:type="dxa"/>
          </w:tcPr>
          <w:p w14:paraId="3DA96459" w14:textId="77777777" w:rsidR="00C81DF2" w:rsidRPr="00FA7B34" w:rsidRDefault="003D17AE">
            <w:pPr>
              <w:pStyle w:val="TableParagraph"/>
              <w:spacing w:before="155"/>
              <w:ind w:right="161"/>
              <w:jc w:val="right"/>
            </w:pPr>
            <w:r w:rsidRPr="00FA7B34">
              <w:t>A / B / C</w:t>
            </w:r>
          </w:p>
        </w:tc>
        <w:tc>
          <w:tcPr>
            <w:tcW w:w="1418" w:type="dxa"/>
          </w:tcPr>
          <w:p w14:paraId="267B6D9F" w14:textId="77777777" w:rsidR="00C81DF2" w:rsidRPr="00FA7B34" w:rsidRDefault="003D17AE">
            <w:pPr>
              <w:pStyle w:val="TableParagraph"/>
              <w:spacing w:before="20"/>
              <w:ind w:left="318" w:hanging="149"/>
            </w:pPr>
            <w:r w:rsidRPr="00FA7B34">
              <w:t>X% sur base annuelle</w:t>
            </w:r>
          </w:p>
        </w:tc>
        <w:tc>
          <w:tcPr>
            <w:tcW w:w="1557" w:type="dxa"/>
          </w:tcPr>
          <w:p w14:paraId="68292495" w14:textId="77777777" w:rsidR="00C81DF2" w:rsidRPr="00FA7B34" w:rsidRDefault="003D17AE">
            <w:pPr>
              <w:pStyle w:val="TableParagraph"/>
              <w:spacing w:before="20"/>
              <w:ind w:left="388" w:hanging="147"/>
            </w:pPr>
            <w:r w:rsidRPr="00FA7B34">
              <w:t>X% sur base annuelle</w:t>
            </w:r>
          </w:p>
        </w:tc>
        <w:tc>
          <w:tcPr>
            <w:tcW w:w="2551" w:type="dxa"/>
          </w:tcPr>
          <w:p w14:paraId="0D6D4E56" w14:textId="77777777" w:rsidR="00C81DF2" w:rsidRPr="00FA7B34" w:rsidRDefault="003D17AE">
            <w:pPr>
              <w:pStyle w:val="TableParagraph"/>
              <w:spacing w:before="155"/>
              <w:ind w:left="12"/>
              <w:jc w:val="center"/>
            </w:pPr>
            <w:r w:rsidRPr="00FA7B34">
              <w:t>X% sur base annuelle</w:t>
            </w:r>
          </w:p>
        </w:tc>
        <w:tc>
          <w:tcPr>
            <w:tcW w:w="2126" w:type="dxa"/>
          </w:tcPr>
          <w:p w14:paraId="3562E36E" w14:textId="77777777" w:rsidR="00C81DF2" w:rsidRPr="00FA7B34" w:rsidRDefault="003D17AE">
            <w:pPr>
              <w:pStyle w:val="TableParagraph"/>
              <w:spacing w:before="155"/>
              <w:ind w:left="71"/>
            </w:pPr>
            <w:r w:rsidRPr="00FA7B34">
              <w:t>TBC</w:t>
            </w:r>
          </w:p>
        </w:tc>
      </w:tr>
      <w:tr w:rsidR="00C81DF2" w:rsidRPr="00FA7B34" w14:paraId="006D472A" w14:textId="77777777">
        <w:trPr>
          <w:trHeight w:val="275"/>
        </w:trPr>
        <w:tc>
          <w:tcPr>
            <w:tcW w:w="521" w:type="dxa"/>
            <w:vMerge/>
            <w:tcBorders>
              <w:top w:val="nil"/>
              <w:bottom w:val="nil"/>
            </w:tcBorders>
          </w:tcPr>
          <w:p w14:paraId="1470F6E7" w14:textId="77777777" w:rsidR="00C81DF2" w:rsidRPr="00FA7B34" w:rsidRDefault="00C81DF2">
            <w:pPr>
              <w:rPr>
                <w:sz w:val="2"/>
                <w:szCs w:val="2"/>
              </w:rPr>
            </w:pPr>
          </w:p>
        </w:tc>
        <w:tc>
          <w:tcPr>
            <w:tcW w:w="8732" w:type="dxa"/>
            <w:gridSpan w:val="5"/>
            <w:tcBorders>
              <w:bottom w:val="nil"/>
            </w:tcBorders>
          </w:tcPr>
          <w:p w14:paraId="4CBCC20D" w14:textId="77777777" w:rsidR="00C81DF2" w:rsidRPr="00FA7B34" w:rsidRDefault="003D17AE">
            <w:pPr>
              <w:pStyle w:val="TableParagraph"/>
              <w:spacing w:before="6" w:line="249" w:lineRule="exact"/>
              <w:ind w:left="4" w:right="1"/>
              <w:jc w:val="center"/>
              <w:rPr>
                <w:i/>
              </w:rPr>
            </w:pPr>
            <w:r w:rsidRPr="00FA7B34">
              <w:rPr>
                <w:i/>
              </w:rPr>
              <w:t>Lien vers le document d'informations clés pour l'épargnant</w:t>
            </w:r>
          </w:p>
        </w:tc>
      </w:tr>
      <w:tr w:rsidR="00C81DF2" w:rsidRPr="00FA7B34" w14:paraId="405C9310" w14:textId="77777777">
        <w:trPr>
          <w:trHeight w:val="288"/>
        </w:trPr>
        <w:tc>
          <w:tcPr>
            <w:tcW w:w="9253" w:type="dxa"/>
            <w:gridSpan w:val="6"/>
            <w:tcBorders>
              <w:top w:val="nil"/>
              <w:bottom w:val="nil"/>
            </w:tcBorders>
            <w:shd w:val="clear" w:color="auto" w:fill="000000"/>
          </w:tcPr>
          <w:p w14:paraId="7B4FD2F2" w14:textId="77777777" w:rsidR="00C81DF2" w:rsidRPr="00FA7B34" w:rsidRDefault="00C81DF2">
            <w:pPr>
              <w:pStyle w:val="TableParagraph"/>
              <w:rPr>
                <w:rFonts w:ascii="Times New Roman"/>
                <w:sz w:val="20"/>
              </w:rPr>
            </w:pPr>
          </w:p>
        </w:tc>
      </w:tr>
      <w:tr w:rsidR="00C81DF2" w:rsidRPr="00FA7B34" w14:paraId="4F8D34CC" w14:textId="77777777">
        <w:trPr>
          <w:trHeight w:val="287"/>
        </w:trPr>
        <w:tc>
          <w:tcPr>
            <w:tcW w:w="521" w:type="dxa"/>
            <w:vMerge w:val="restart"/>
            <w:tcBorders>
              <w:top w:val="nil"/>
              <w:bottom w:val="nil"/>
            </w:tcBorders>
          </w:tcPr>
          <w:p w14:paraId="3A82A9A6" w14:textId="77777777" w:rsidR="00C81DF2" w:rsidRPr="00FA7B34" w:rsidRDefault="00C81DF2">
            <w:pPr>
              <w:pStyle w:val="TableParagraph"/>
            </w:pPr>
          </w:p>
          <w:p w14:paraId="41B3212B" w14:textId="77777777" w:rsidR="00C81DF2" w:rsidRPr="00FA7B34" w:rsidRDefault="00C81DF2">
            <w:pPr>
              <w:pStyle w:val="TableParagraph"/>
              <w:spacing w:before="163"/>
            </w:pPr>
          </w:p>
          <w:p w14:paraId="100C3CA0" w14:textId="77777777" w:rsidR="00C81DF2" w:rsidRPr="00FA7B34" w:rsidRDefault="003D17AE">
            <w:pPr>
              <w:pStyle w:val="TableParagraph"/>
              <w:ind w:left="8"/>
              <w:jc w:val="center"/>
              <w:rPr>
                <w:b/>
              </w:rPr>
            </w:pPr>
            <w:r w:rsidRPr="00FA7B34">
              <w:rPr>
                <w:b/>
              </w:rPr>
              <w:t>2</w:t>
            </w:r>
          </w:p>
        </w:tc>
        <w:tc>
          <w:tcPr>
            <w:tcW w:w="8732" w:type="dxa"/>
            <w:gridSpan w:val="5"/>
            <w:tcBorders>
              <w:top w:val="nil"/>
            </w:tcBorders>
          </w:tcPr>
          <w:p w14:paraId="407E7CF9" w14:textId="77777777" w:rsidR="00C81DF2" w:rsidRPr="00FA7B34" w:rsidRDefault="003D17AE">
            <w:pPr>
              <w:pStyle w:val="TableParagraph"/>
              <w:spacing w:before="18" w:line="249" w:lineRule="exact"/>
              <w:ind w:left="4"/>
              <w:jc w:val="center"/>
              <w:rPr>
                <w:b/>
              </w:rPr>
            </w:pPr>
            <w:r w:rsidRPr="00FA7B34">
              <w:rPr>
                <w:b/>
              </w:rPr>
              <w:t>Nom officiel complet du compte d’épargne</w:t>
            </w:r>
          </w:p>
        </w:tc>
      </w:tr>
      <w:tr w:rsidR="00C81DF2" w:rsidRPr="00FA7B34" w14:paraId="3FC2329A" w14:textId="77777777">
        <w:trPr>
          <w:trHeight w:val="537"/>
        </w:trPr>
        <w:tc>
          <w:tcPr>
            <w:tcW w:w="521" w:type="dxa"/>
            <w:vMerge/>
            <w:tcBorders>
              <w:top w:val="nil"/>
              <w:bottom w:val="nil"/>
            </w:tcBorders>
          </w:tcPr>
          <w:p w14:paraId="772F55DD" w14:textId="77777777" w:rsidR="00C81DF2" w:rsidRPr="00FA7B34" w:rsidRDefault="00C81DF2">
            <w:pPr>
              <w:rPr>
                <w:sz w:val="2"/>
                <w:szCs w:val="2"/>
              </w:rPr>
            </w:pPr>
          </w:p>
        </w:tc>
        <w:tc>
          <w:tcPr>
            <w:tcW w:w="1080" w:type="dxa"/>
          </w:tcPr>
          <w:p w14:paraId="6DFE04BB" w14:textId="77777777" w:rsidR="00C81DF2" w:rsidRPr="00FA7B34" w:rsidRDefault="003D17AE">
            <w:pPr>
              <w:pStyle w:val="TableParagraph"/>
              <w:spacing w:before="268" w:line="249" w:lineRule="exact"/>
              <w:ind w:right="118"/>
              <w:jc w:val="right"/>
              <w:rPr>
                <w:b/>
              </w:rPr>
            </w:pPr>
            <w:r w:rsidRPr="00FA7B34">
              <w:rPr>
                <w:b/>
              </w:rPr>
              <w:t>Catégorie</w:t>
            </w:r>
          </w:p>
        </w:tc>
        <w:tc>
          <w:tcPr>
            <w:tcW w:w="1418" w:type="dxa"/>
          </w:tcPr>
          <w:p w14:paraId="4508671B" w14:textId="77777777" w:rsidR="00C81DF2" w:rsidRPr="00FA7B34" w:rsidRDefault="003D17AE">
            <w:pPr>
              <w:pStyle w:val="TableParagraph"/>
              <w:spacing w:line="268" w:lineRule="exact"/>
              <w:ind w:left="66"/>
              <w:rPr>
                <w:b/>
              </w:rPr>
            </w:pPr>
            <w:r w:rsidRPr="00FA7B34">
              <w:rPr>
                <w:b/>
              </w:rPr>
              <w:t>Intérêt de</w:t>
            </w:r>
          </w:p>
          <w:p w14:paraId="6E68434F" w14:textId="11C17F89" w:rsidR="00C81DF2" w:rsidRPr="00FA7B34" w:rsidRDefault="00D160A9">
            <w:pPr>
              <w:pStyle w:val="TableParagraph"/>
              <w:spacing w:line="249" w:lineRule="exact"/>
              <w:ind w:left="66"/>
              <w:rPr>
                <w:b/>
              </w:rPr>
            </w:pPr>
            <w:r w:rsidRPr="00FA7B34">
              <w:rPr>
                <w:b/>
              </w:rPr>
              <w:t>B</w:t>
            </w:r>
            <w:r w:rsidR="003D17AE" w:rsidRPr="00FA7B34">
              <w:rPr>
                <w:b/>
              </w:rPr>
              <w:t>ase</w:t>
            </w:r>
          </w:p>
        </w:tc>
        <w:tc>
          <w:tcPr>
            <w:tcW w:w="1557" w:type="dxa"/>
          </w:tcPr>
          <w:p w14:paraId="30EB18FF" w14:textId="77777777" w:rsidR="00C81DF2" w:rsidRPr="00FA7B34" w:rsidRDefault="003D17AE">
            <w:pPr>
              <w:pStyle w:val="TableParagraph"/>
              <w:spacing w:line="268" w:lineRule="exact"/>
              <w:ind w:left="67"/>
              <w:rPr>
                <w:b/>
              </w:rPr>
            </w:pPr>
            <w:r w:rsidRPr="00FA7B34">
              <w:rPr>
                <w:b/>
              </w:rPr>
              <w:t>Prime de</w:t>
            </w:r>
          </w:p>
          <w:p w14:paraId="462ACCAC" w14:textId="520C3811" w:rsidR="00C81DF2" w:rsidRPr="00FA7B34" w:rsidRDefault="00BF3151">
            <w:pPr>
              <w:pStyle w:val="TableParagraph"/>
              <w:spacing w:line="249" w:lineRule="exact"/>
              <w:ind w:left="67"/>
              <w:rPr>
                <w:b/>
              </w:rPr>
            </w:pPr>
            <w:r w:rsidRPr="00FA7B34">
              <w:rPr>
                <w:b/>
              </w:rPr>
              <w:t>F</w:t>
            </w:r>
            <w:r w:rsidR="003D17AE" w:rsidRPr="00FA7B34">
              <w:rPr>
                <w:b/>
              </w:rPr>
              <w:t>idélité</w:t>
            </w:r>
          </w:p>
        </w:tc>
        <w:tc>
          <w:tcPr>
            <w:tcW w:w="2551" w:type="dxa"/>
          </w:tcPr>
          <w:p w14:paraId="72FABABF" w14:textId="77777777" w:rsidR="00C81DF2" w:rsidRPr="00FA7B34" w:rsidRDefault="003D17AE">
            <w:pPr>
              <w:pStyle w:val="TableParagraph"/>
              <w:spacing w:line="268" w:lineRule="exact"/>
              <w:ind w:left="70"/>
              <w:rPr>
                <w:b/>
              </w:rPr>
            </w:pPr>
            <w:r w:rsidRPr="00FA7B34">
              <w:rPr>
                <w:b/>
              </w:rPr>
              <w:t>Addition du taux de base</w:t>
            </w:r>
          </w:p>
          <w:p w14:paraId="17DB308B" w14:textId="77777777" w:rsidR="00C81DF2" w:rsidRPr="00FA7B34" w:rsidRDefault="003D17AE">
            <w:pPr>
              <w:pStyle w:val="TableParagraph"/>
              <w:spacing w:line="249" w:lineRule="exact"/>
              <w:ind w:left="70"/>
              <w:rPr>
                <w:b/>
              </w:rPr>
            </w:pPr>
            <w:r w:rsidRPr="00FA7B34">
              <w:rPr>
                <w:b/>
              </w:rPr>
              <w:t>et de la prime de fidélité</w:t>
            </w:r>
          </w:p>
        </w:tc>
        <w:tc>
          <w:tcPr>
            <w:tcW w:w="2126" w:type="dxa"/>
          </w:tcPr>
          <w:p w14:paraId="4EE2016A" w14:textId="77777777" w:rsidR="00C81DF2" w:rsidRPr="00FA7B34" w:rsidRDefault="003D17AE">
            <w:pPr>
              <w:pStyle w:val="TableParagraph"/>
              <w:spacing w:line="268" w:lineRule="exact"/>
              <w:ind w:left="70"/>
              <w:rPr>
                <w:b/>
              </w:rPr>
            </w:pPr>
            <w:r w:rsidRPr="00FA7B34">
              <w:rPr>
                <w:b/>
              </w:rPr>
              <w:t>Conditions</w:t>
            </w:r>
          </w:p>
          <w:p w14:paraId="4F5D0CD5" w14:textId="77777777" w:rsidR="00C81DF2" w:rsidRPr="00FA7B34" w:rsidRDefault="003D17AE">
            <w:pPr>
              <w:pStyle w:val="TableParagraph"/>
              <w:spacing w:line="249" w:lineRule="exact"/>
              <w:ind w:left="70"/>
              <w:rPr>
                <w:b/>
              </w:rPr>
            </w:pPr>
            <w:r w:rsidRPr="00FA7B34">
              <w:rPr>
                <w:b/>
              </w:rPr>
              <w:t>applicables</w:t>
            </w:r>
          </w:p>
        </w:tc>
      </w:tr>
      <w:tr w:rsidR="00C81DF2" w:rsidRPr="00FA7B34" w14:paraId="623B1B50" w14:textId="77777777">
        <w:trPr>
          <w:trHeight w:val="537"/>
        </w:trPr>
        <w:tc>
          <w:tcPr>
            <w:tcW w:w="521" w:type="dxa"/>
            <w:vMerge/>
            <w:tcBorders>
              <w:top w:val="nil"/>
              <w:bottom w:val="nil"/>
            </w:tcBorders>
          </w:tcPr>
          <w:p w14:paraId="181C1504" w14:textId="77777777" w:rsidR="00C81DF2" w:rsidRPr="00FA7B34" w:rsidRDefault="00C81DF2">
            <w:pPr>
              <w:rPr>
                <w:sz w:val="2"/>
                <w:szCs w:val="2"/>
              </w:rPr>
            </w:pPr>
          </w:p>
        </w:tc>
        <w:tc>
          <w:tcPr>
            <w:tcW w:w="1080" w:type="dxa"/>
          </w:tcPr>
          <w:p w14:paraId="085EF07B" w14:textId="77777777" w:rsidR="00C81DF2" w:rsidRPr="00FA7B34" w:rsidRDefault="003D17AE">
            <w:pPr>
              <w:pStyle w:val="TableParagraph"/>
              <w:spacing w:before="133"/>
              <w:ind w:right="161"/>
              <w:jc w:val="right"/>
            </w:pPr>
            <w:r w:rsidRPr="00FA7B34">
              <w:t>A / B / C</w:t>
            </w:r>
          </w:p>
        </w:tc>
        <w:tc>
          <w:tcPr>
            <w:tcW w:w="1418" w:type="dxa"/>
          </w:tcPr>
          <w:p w14:paraId="3D3C50BC" w14:textId="77777777" w:rsidR="00C81DF2" w:rsidRPr="00FA7B34" w:rsidRDefault="003D17AE">
            <w:pPr>
              <w:pStyle w:val="TableParagraph"/>
              <w:spacing w:line="268" w:lineRule="exact"/>
              <w:ind w:left="1" w:right="1"/>
              <w:jc w:val="center"/>
            </w:pPr>
            <w:r w:rsidRPr="00FA7B34">
              <w:t>X% sur base</w:t>
            </w:r>
          </w:p>
          <w:p w14:paraId="4DF22306" w14:textId="77777777" w:rsidR="00C81DF2" w:rsidRPr="00FA7B34" w:rsidRDefault="003D17AE">
            <w:pPr>
              <w:pStyle w:val="TableParagraph"/>
              <w:spacing w:line="249" w:lineRule="exact"/>
              <w:ind w:left="1"/>
              <w:jc w:val="center"/>
            </w:pPr>
            <w:r w:rsidRPr="00FA7B34">
              <w:t>annuelle</w:t>
            </w:r>
          </w:p>
        </w:tc>
        <w:tc>
          <w:tcPr>
            <w:tcW w:w="1557" w:type="dxa"/>
          </w:tcPr>
          <w:p w14:paraId="5D367824" w14:textId="77777777" w:rsidR="00C81DF2" w:rsidRPr="00FA7B34" w:rsidRDefault="003D17AE">
            <w:pPr>
              <w:pStyle w:val="TableParagraph"/>
              <w:spacing w:line="268" w:lineRule="exact"/>
              <w:ind w:left="5"/>
              <w:jc w:val="center"/>
            </w:pPr>
            <w:r w:rsidRPr="00FA7B34">
              <w:t>X% sur base</w:t>
            </w:r>
          </w:p>
          <w:p w14:paraId="0DABEA8D" w14:textId="74B60EB9" w:rsidR="00C81DF2" w:rsidRPr="00FA7B34" w:rsidRDefault="00BF3151">
            <w:pPr>
              <w:pStyle w:val="TableParagraph"/>
              <w:spacing w:line="249" w:lineRule="exact"/>
              <w:ind w:left="5" w:right="3"/>
              <w:jc w:val="center"/>
            </w:pPr>
            <w:r w:rsidRPr="00FA7B34">
              <w:t>A</w:t>
            </w:r>
            <w:r w:rsidR="003D17AE" w:rsidRPr="00FA7B34">
              <w:t>nnuelle</w:t>
            </w:r>
          </w:p>
        </w:tc>
        <w:tc>
          <w:tcPr>
            <w:tcW w:w="2551" w:type="dxa"/>
          </w:tcPr>
          <w:p w14:paraId="1751E52A" w14:textId="77777777" w:rsidR="00C81DF2" w:rsidRPr="00FA7B34" w:rsidRDefault="003D17AE">
            <w:pPr>
              <w:pStyle w:val="TableParagraph"/>
              <w:spacing w:before="133"/>
              <w:ind w:left="12"/>
              <w:jc w:val="center"/>
            </w:pPr>
            <w:r w:rsidRPr="00FA7B34">
              <w:t>X% sur base annuelle</w:t>
            </w:r>
          </w:p>
        </w:tc>
        <w:tc>
          <w:tcPr>
            <w:tcW w:w="2126" w:type="dxa"/>
          </w:tcPr>
          <w:p w14:paraId="3BD129BD" w14:textId="77777777" w:rsidR="00C81DF2" w:rsidRPr="00FA7B34" w:rsidRDefault="003D17AE">
            <w:pPr>
              <w:pStyle w:val="TableParagraph"/>
              <w:spacing w:before="133"/>
              <w:ind w:left="71"/>
            </w:pPr>
            <w:r w:rsidRPr="00FA7B34">
              <w:t>TBC</w:t>
            </w:r>
          </w:p>
        </w:tc>
      </w:tr>
      <w:tr w:rsidR="00C81DF2" w:rsidRPr="00FA7B34" w14:paraId="038D9DAB" w14:textId="77777777">
        <w:trPr>
          <w:trHeight w:val="278"/>
        </w:trPr>
        <w:tc>
          <w:tcPr>
            <w:tcW w:w="521" w:type="dxa"/>
            <w:vMerge/>
            <w:tcBorders>
              <w:top w:val="nil"/>
              <w:bottom w:val="nil"/>
            </w:tcBorders>
          </w:tcPr>
          <w:p w14:paraId="1093BC3C" w14:textId="77777777" w:rsidR="00C81DF2" w:rsidRPr="00FA7B34" w:rsidRDefault="00C81DF2">
            <w:pPr>
              <w:rPr>
                <w:sz w:val="2"/>
                <w:szCs w:val="2"/>
              </w:rPr>
            </w:pPr>
          </w:p>
        </w:tc>
        <w:tc>
          <w:tcPr>
            <w:tcW w:w="8732" w:type="dxa"/>
            <w:gridSpan w:val="5"/>
            <w:tcBorders>
              <w:bottom w:val="nil"/>
            </w:tcBorders>
          </w:tcPr>
          <w:p w14:paraId="0EA8FA0E" w14:textId="77777777" w:rsidR="00C81DF2" w:rsidRPr="00FA7B34" w:rsidRDefault="003D17AE">
            <w:pPr>
              <w:pStyle w:val="TableParagraph"/>
              <w:spacing w:before="8" w:line="249" w:lineRule="exact"/>
              <w:ind w:left="4" w:right="1"/>
              <w:jc w:val="center"/>
              <w:rPr>
                <w:i/>
              </w:rPr>
            </w:pPr>
            <w:r w:rsidRPr="00FA7B34">
              <w:rPr>
                <w:i/>
              </w:rPr>
              <w:t>Lien vers le document d'informations clés pour l'épargnant</w:t>
            </w:r>
          </w:p>
        </w:tc>
      </w:tr>
      <w:tr w:rsidR="00C81DF2" w:rsidRPr="00FA7B34" w14:paraId="20396540" w14:textId="77777777">
        <w:trPr>
          <w:trHeight w:val="288"/>
        </w:trPr>
        <w:tc>
          <w:tcPr>
            <w:tcW w:w="9253" w:type="dxa"/>
            <w:gridSpan w:val="6"/>
            <w:tcBorders>
              <w:top w:val="nil"/>
              <w:bottom w:val="nil"/>
            </w:tcBorders>
            <w:shd w:val="clear" w:color="auto" w:fill="000000"/>
          </w:tcPr>
          <w:p w14:paraId="6AE64D89" w14:textId="77777777" w:rsidR="00C81DF2" w:rsidRPr="00FA7B34" w:rsidRDefault="00C81DF2">
            <w:pPr>
              <w:pStyle w:val="TableParagraph"/>
              <w:rPr>
                <w:rFonts w:ascii="Times New Roman"/>
                <w:sz w:val="20"/>
              </w:rPr>
            </w:pPr>
          </w:p>
        </w:tc>
      </w:tr>
      <w:tr w:rsidR="00C81DF2" w:rsidRPr="00FA7B34" w14:paraId="32615B83" w14:textId="77777777">
        <w:trPr>
          <w:trHeight w:val="287"/>
        </w:trPr>
        <w:tc>
          <w:tcPr>
            <w:tcW w:w="521" w:type="dxa"/>
            <w:vMerge w:val="restart"/>
            <w:tcBorders>
              <w:top w:val="nil"/>
              <w:bottom w:val="nil"/>
            </w:tcBorders>
          </w:tcPr>
          <w:p w14:paraId="54EE120E" w14:textId="77777777" w:rsidR="00C81DF2" w:rsidRPr="00FA7B34" w:rsidRDefault="00C81DF2">
            <w:pPr>
              <w:pStyle w:val="TableParagraph"/>
            </w:pPr>
          </w:p>
          <w:p w14:paraId="4C3779B4" w14:textId="77777777" w:rsidR="00C81DF2" w:rsidRPr="00FA7B34" w:rsidRDefault="00C81DF2">
            <w:pPr>
              <w:pStyle w:val="TableParagraph"/>
              <w:spacing w:before="160"/>
            </w:pPr>
          </w:p>
          <w:p w14:paraId="0744C756" w14:textId="77777777" w:rsidR="00C81DF2" w:rsidRPr="00FA7B34" w:rsidRDefault="003D17AE">
            <w:pPr>
              <w:pStyle w:val="TableParagraph"/>
              <w:ind w:left="8"/>
              <w:jc w:val="center"/>
              <w:rPr>
                <w:b/>
              </w:rPr>
            </w:pPr>
            <w:r w:rsidRPr="00FA7B34">
              <w:rPr>
                <w:b/>
              </w:rPr>
              <w:t>3</w:t>
            </w:r>
          </w:p>
        </w:tc>
        <w:tc>
          <w:tcPr>
            <w:tcW w:w="8732" w:type="dxa"/>
            <w:gridSpan w:val="5"/>
            <w:tcBorders>
              <w:top w:val="nil"/>
            </w:tcBorders>
          </w:tcPr>
          <w:p w14:paraId="749FD2A8" w14:textId="77777777" w:rsidR="00C81DF2" w:rsidRPr="00FA7B34" w:rsidRDefault="003D17AE">
            <w:pPr>
              <w:pStyle w:val="TableParagraph"/>
              <w:spacing w:before="18" w:line="249" w:lineRule="exact"/>
              <w:ind w:left="4"/>
              <w:jc w:val="center"/>
              <w:rPr>
                <w:b/>
              </w:rPr>
            </w:pPr>
            <w:r w:rsidRPr="00FA7B34">
              <w:rPr>
                <w:b/>
              </w:rPr>
              <w:t>Nom officiel complet du compte d’épargne</w:t>
            </w:r>
          </w:p>
        </w:tc>
      </w:tr>
      <w:tr w:rsidR="00C81DF2" w:rsidRPr="00FA7B34" w14:paraId="2DF264D8" w14:textId="77777777">
        <w:trPr>
          <w:trHeight w:val="537"/>
        </w:trPr>
        <w:tc>
          <w:tcPr>
            <w:tcW w:w="521" w:type="dxa"/>
            <w:vMerge/>
            <w:tcBorders>
              <w:top w:val="nil"/>
              <w:bottom w:val="nil"/>
            </w:tcBorders>
          </w:tcPr>
          <w:p w14:paraId="5C007A65" w14:textId="77777777" w:rsidR="00C81DF2" w:rsidRPr="00FA7B34" w:rsidRDefault="00C81DF2">
            <w:pPr>
              <w:rPr>
                <w:sz w:val="2"/>
                <w:szCs w:val="2"/>
              </w:rPr>
            </w:pPr>
          </w:p>
        </w:tc>
        <w:tc>
          <w:tcPr>
            <w:tcW w:w="1080" w:type="dxa"/>
          </w:tcPr>
          <w:p w14:paraId="19644B50" w14:textId="77777777" w:rsidR="00C81DF2" w:rsidRPr="00FA7B34" w:rsidRDefault="003D17AE">
            <w:pPr>
              <w:pStyle w:val="TableParagraph"/>
              <w:spacing w:before="268" w:line="249" w:lineRule="exact"/>
              <w:ind w:right="118"/>
              <w:jc w:val="right"/>
              <w:rPr>
                <w:b/>
              </w:rPr>
            </w:pPr>
            <w:r w:rsidRPr="00FA7B34">
              <w:rPr>
                <w:b/>
              </w:rPr>
              <w:t>Catégorie</w:t>
            </w:r>
          </w:p>
        </w:tc>
        <w:tc>
          <w:tcPr>
            <w:tcW w:w="1418" w:type="dxa"/>
          </w:tcPr>
          <w:p w14:paraId="37A9EEA4" w14:textId="77777777" w:rsidR="00C81DF2" w:rsidRPr="00FA7B34" w:rsidRDefault="003D17AE">
            <w:pPr>
              <w:pStyle w:val="TableParagraph"/>
              <w:spacing w:line="268" w:lineRule="exact"/>
              <w:ind w:left="66"/>
              <w:rPr>
                <w:b/>
              </w:rPr>
            </w:pPr>
            <w:r w:rsidRPr="00FA7B34">
              <w:rPr>
                <w:b/>
              </w:rPr>
              <w:t>Intérêt de</w:t>
            </w:r>
          </w:p>
          <w:p w14:paraId="0D34D45C" w14:textId="7388D250" w:rsidR="00C81DF2" w:rsidRPr="00FA7B34" w:rsidRDefault="00D160A9">
            <w:pPr>
              <w:pStyle w:val="TableParagraph"/>
              <w:spacing w:line="249" w:lineRule="exact"/>
              <w:ind w:left="66"/>
              <w:rPr>
                <w:b/>
              </w:rPr>
            </w:pPr>
            <w:r w:rsidRPr="00FA7B34">
              <w:rPr>
                <w:b/>
              </w:rPr>
              <w:t>B</w:t>
            </w:r>
            <w:r w:rsidR="003D17AE" w:rsidRPr="00FA7B34">
              <w:rPr>
                <w:b/>
              </w:rPr>
              <w:t>ase</w:t>
            </w:r>
          </w:p>
        </w:tc>
        <w:tc>
          <w:tcPr>
            <w:tcW w:w="1557" w:type="dxa"/>
          </w:tcPr>
          <w:p w14:paraId="3EC38B8A" w14:textId="77777777" w:rsidR="00C81DF2" w:rsidRPr="00FA7B34" w:rsidRDefault="003D17AE">
            <w:pPr>
              <w:pStyle w:val="TableParagraph"/>
              <w:spacing w:line="268" w:lineRule="exact"/>
              <w:ind w:left="67"/>
              <w:rPr>
                <w:b/>
              </w:rPr>
            </w:pPr>
            <w:r w:rsidRPr="00FA7B34">
              <w:rPr>
                <w:b/>
              </w:rPr>
              <w:t>Prime de</w:t>
            </w:r>
          </w:p>
          <w:p w14:paraId="6ECCF6DC" w14:textId="7E4667B0" w:rsidR="00C81DF2" w:rsidRPr="00FA7B34" w:rsidRDefault="00BF3151">
            <w:pPr>
              <w:pStyle w:val="TableParagraph"/>
              <w:spacing w:line="249" w:lineRule="exact"/>
              <w:ind w:left="67"/>
              <w:rPr>
                <w:b/>
              </w:rPr>
            </w:pPr>
            <w:r w:rsidRPr="00FA7B34">
              <w:rPr>
                <w:b/>
              </w:rPr>
              <w:t>F</w:t>
            </w:r>
            <w:r w:rsidR="003D17AE" w:rsidRPr="00FA7B34">
              <w:rPr>
                <w:b/>
              </w:rPr>
              <w:t>idélité</w:t>
            </w:r>
          </w:p>
        </w:tc>
        <w:tc>
          <w:tcPr>
            <w:tcW w:w="2551" w:type="dxa"/>
          </w:tcPr>
          <w:p w14:paraId="48274BEF" w14:textId="77777777" w:rsidR="00C81DF2" w:rsidRPr="00FA7B34" w:rsidRDefault="003D17AE">
            <w:pPr>
              <w:pStyle w:val="TableParagraph"/>
              <w:spacing w:line="268" w:lineRule="exact"/>
              <w:ind w:left="70"/>
              <w:rPr>
                <w:b/>
              </w:rPr>
            </w:pPr>
            <w:r w:rsidRPr="00FA7B34">
              <w:rPr>
                <w:b/>
              </w:rPr>
              <w:t>Addition du taux de base</w:t>
            </w:r>
          </w:p>
          <w:p w14:paraId="2698ECF6" w14:textId="77777777" w:rsidR="00C81DF2" w:rsidRPr="00FA7B34" w:rsidRDefault="003D17AE">
            <w:pPr>
              <w:pStyle w:val="TableParagraph"/>
              <w:spacing w:line="249" w:lineRule="exact"/>
              <w:ind w:left="70"/>
              <w:rPr>
                <w:b/>
              </w:rPr>
            </w:pPr>
            <w:r w:rsidRPr="00FA7B34">
              <w:rPr>
                <w:b/>
              </w:rPr>
              <w:t>et de la prime de fidélité</w:t>
            </w:r>
          </w:p>
        </w:tc>
        <w:tc>
          <w:tcPr>
            <w:tcW w:w="2126" w:type="dxa"/>
          </w:tcPr>
          <w:p w14:paraId="53C76ABD" w14:textId="77777777" w:rsidR="00C81DF2" w:rsidRPr="00FA7B34" w:rsidRDefault="003D17AE">
            <w:pPr>
              <w:pStyle w:val="TableParagraph"/>
              <w:spacing w:line="268" w:lineRule="exact"/>
              <w:ind w:left="70"/>
              <w:rPr>
                <w:b/>
              </w:rPr>
            </w:pPr>
            <w:r w:rsidRPr="00FA7B34">
              <w:rPr>
                <w:b/>
              </w:rPr>
              <w:t>Conditions</w:t>
            </w:r>
          </w:p>
          <w:p w14:paraId="2456B88B" w14:textId="77777777" w:rsidR="00C81DF2" w:rsidRPr="00FA7B34" w:rsidRDefault="003D17AE">
            <w:pPr>
              <w:pStyle w:val="TableParagraph"/>
              <w:spacing w:line="249" w:lineRule="exact"/>
              <w:ind w:left="70"/>
              <w:rPr>
                <w:b/>
              </w:rPr>
            </w:pPr>
            <w:r w:rsidRPr="00FA7B34">
              <w:rPr>
                <w:b/>
              </w:rPr>
              <w:t>applicables</w:t>
            </w:r>
          </w:p>
        </w:tc>
      </w:tr>
      <w:tr w:rsidR="00C81DF2" w:rsidRPr="00FA7B34" w14:paraId="2CB4F429" w14:textId="77777777">
        <w:trPr>
          <w:trHeight w:val="537"/>
        </w:trPr>
        <w:tc>
          <w:tcPr>
            <w:tcW w:w="521" w:type="dxa"/>
            <w:vMerge/>
            <w:tcBorders>
              <w:top w:val="nil"/>
              <w:bottom w:val="nil"/>
            </w:tcBorders>
          </w:tcPr>
          <w:p w14:paraId="47137CB9" w14:textId="77777777" w:rsidR="00C81DF2" w:rsidRPr="00FA7B34" w:rsidRDefault="00C81DF2">
            <w:pPr>
              <w:rPr>
                <w:sz w:val="2"/>
                <w:szCs w:val="2"/>
              </w:rPr>
            </w:pPr>
          </w:p>
        </w:tc>
        <w:tc>
          <w:tcPr>
            <w:tcW w:w="1080" w:type="dxa"/>
          </w:tcPr>
          <w:p w14:paraId="51A49F45" w14:textId="77777777" w:rsidR="00C81DF2" w:rsidRPr="00FA7B34" w:rsidRDefault="003D17AE">
            <w:pPr>
              <w:pStyle w:val="TableParagraph"/>
              <w:spacing w:before="133"/>
              <w:ind w:right="161"/>
              <w:jc w:val="right"/>
            </w:pPr>
            <w:r w:rsidRPr="00FA7B34">
              <w:t>A / B / C</w:t>
            </w:r>
          </w:p>
        </w:tc>
        <w:tc>
          <w:tcPr>
            <w:tcW w:w="1418" w:type="dxa"/>
          </w:tcPr>
          <w:p w14:paraId="337F00A5" w14:textId="77777777" w:rsidR="00C81DF2" w:rsidRPr="00FA7B34" w:rsidRDefault="003D17AE">
            <w:pPr>
              <w:pStyle w:val="TableParagraph"/>
              <w:spacing w:line="268" w:lineRule="exact"/>
              <w:ind w:left="1" w:right="1"/>
              <w:jc w:val="center"/>
            </w:pPr>
            <w:r w:rsidRPr="00FA7B34">
              <w:t>X% sur base</w:t>
            </w:r>
          </w:p>
          <w:p w14:paraId="2A4886F8" w14:textId="77777777" w:rsidR="00C81DF2" w:rsidRPr="00FA7B34" w:rsidRDefault="003D17AE">
            <w:pPr>
              <w:pStyle w:val="TableParagraph"/>
              <w:spacing w:line="249" w:lineRule="exact"/>
              <w:ind w:left="1"/>
              <w:jc w:val="center"/>
            </w:pPr>
            <w:r w:rsidRPr="00FA7B34">
              <w:t>annuelle</w:t>
            </w:r>
          </w:p>
        </w:tc>
        <w:tc>
          <w:tcPr>
            <w:tcW w:w="1557" w:type="dxa"/>
          </w:tcPr>
          <w:p w14:paraId="3B6EA772" w14:textId="77777777" w:rsidR="00C81DF2" w:rsidRPr="00FA7B34" w:rsidRDefault="003D17AE">
            <w:pPr>
              <w:pStyle w:val="TableParagraph"/>
              <w:spacing w:line="268" w:lineRule="exact"/>
              <w:ind w:left="5"/>
              <w:jc w:val="center"/>
            </w:pPr>
            <w:r w:rsidRPr="00FA7B34">
              <w:t>X% sur base</w:t>
            </w:r>
          </w:p>
          <w:p w14:paraId="1F1A819B" w14:textId="4579BDDD" w:rsidR="00C81DF2" w:rsidRPr="00FA7B34" w:rsidRDefault="00BF3151">
            <w:pPr>
              <w:pStyle w:val="TableParagraph"/>
              <w:spacing w:line="249" w:lineRule="exact"/>
              <w:ind w:left="5" w:right="3"/>
              <w:jc w:val="center"/>
            </w:pPr>
            <w:r w:rsidRPr="00FA7B34">
              <w:t>A</w:t>
            </w:r>
            <w:r w:rsidR="003D17AE" w:rsidRPr="00FA7B34">
              <w:t>nnuelle</w:t>
            </w:r>
          </w:p>
        </w:tc>
        <w:tc>
          <w:tcPr>
            <w:tcW w:w="2551" w:type="dxa"/>
          </w:tcPr>
          <w:p w14:paraId="56EACBD5" w14:textId="77777777" w:rsidR="00C81DF2" w:rsidRPr="00FA7B34" w:rsidRDefault="003D17AE">
            <w:pPr>
              <w:pStyle w:val="TableParagraph"/>
              <w:spacing w:before="133"/>
              <w:ind w:left="12"/>
              <w:jc w:val="center"/>
            </w:pPr>
            <w:r w:rsidRPr="00FA7B34">
              <w:t>X% sur base annuelle</w:t>
            </w:r>
          </w:p>
        </w:tc>
        <w:tc>
          <w:tcPr>
            <w:tcW w:w="2126" w:type="dxa"/>
          </w:tcPr>
          <w:p w14:paraId="089A90E2" w14:textId="77777777" w:rsidR="00C81DF2" w:rsidRPr="00FA7B34" w:rsidRDefault="003D17AE">
            <w:pPr>
              <w:pStyle w:val="TableParagraph"/>
              <w:spacing w:before="133"/>
              <w:ind w:left="71"/>
            </w:pPr>
            <w:r w:rsidRPr="00FA7B34">
              <w:t>TBC</w:t>
            </w:r>
          </w:p>
        </w:tc>
      </w:tr>
      <w:tr w:rsidR="00C81DF2" w:rsidRPr="00FA7B34" w14:paraId="14DAF5C8" w14:textId="77777777">
        <w:trPr>
          <w:trHeight w:val="275"/>
        </w:trPr>
        <w:tc>
          <w:tcPr>
            <w:tcW w:w="521" w:type="dxa"/>
            <w:vMerge/>
            <w:tcBorders>
              <w:top w:val="nil"/>
              <w:bottom w:val="nil"/>
            </w:tcBorders>
          </w:tcPr>
          <w:p w14:paraId="35079C5E" w14:textId="77777777" w:rsidR="00C81DF2" w:rsidRPr="00FA7B34" w:rsidRDefault="00C81DF2">
            <w:pPr>
              <w:rPr>
                <w:sz w:val="2"/>
                <w:szCs w:val="2"/>
              </w:rPr>
            </w:pPr>
          </w:p>
        </w:tc>
        <w:tc>
          <w:tcPr>
            <w:tcW w:w="8732" w:type="dxa"/>
            <w:gridSpan w:val="5"/>
            <w:tcBorders>
              <w:bottom w:val="nil"/>
            </w:tcBorders>
          </w:tcPr>
          <w:p w14:paraId="000682F7" w14:textId="77777777" w:rsidR="00C81DF2" w:rsidRPr="00FA7B34" w:rsidRDefault="003D17AE">
            <w:pPr>
              <w:pStyle w:val="TableParagraph"/>
              <w:spacing w:before="6" w:line="249" w:lineRule="exact"/>
              <w:ind w:left="4" w:right="1"/>
              <w:jc w:val="center"/>
              <w:rPr>
                <w:i/>
              </w:rPr>
            </w:pPr>
            <w:r w:rsidRPr="00FA7B34">
              <w:rPr>
                <w:i/>
              </w:rPr>
              <w:t>Lien vers le document d'informations clés pour l'épargnant</w:t>
            </w:r>
          </w:p>
        </w:tc>
      </w:tr>
      <w:tr w:rsidR="00C81DF2" w:rsidRPr="00FA7B34" w14:paraId="2022597A" w14:textId="77777777">
        <w:trPr>
          <w:trHeight w:val="288"/>
        </w:trPr>
        <w:tc>
          <w:tcPr>
            <w:tcW w:w="9253" w:type="dxa"/>
            <w:gridSpan w:val="6"/>
            <w:tcBorders>
              <w:top w:val="nil"/>
              <w:bottom w:val="nil"/>
            </w:tcBorders>
            <w:shd w:val="clear" w:color="auto" w:fill="000000"/>
          </w:tcPr>
          <w:p w14:paraId="2F13A80A" w14:textId="77777777" w:rsidR="00C81DF2" w:rsidRPr="00FA7B34" w:rsidRDefault="00C81DF2">
            <w:pPr>
              <w:pStyle w:val="TableParagraph"/>
              <w:rPr>
                <w:rFonts w:ascii="Times New Roman"/>
                <w:sz w:val="20"/>
              </w:rPr>
            </w:pPr>
          </w:p>
        </w:tc>
      </w:tr>
      <w:tr w:rsidR="00C81DF2" w:rsidRPr="00FA7B34" w14:paraId="23B671FF" w14:textId="77777777">
        <w:trPr>
          <w:trHeight w:val="287"/>
        </w:trPr>
        <w:tc>
          <w:tcPr>
            <w:tcW w:w="521" w:type="dxa"/>
            <w:vMerge w:val="restart"/>
            <w:tcBorders>
              <w:top w:val="nil"/>
            </w:tcBorders>
          </w:tcPr>
          <w:p w14:paraId="60CF566A" w14:textId="77777777" w:rsidR="00C81DF2" w:rsidRPr="00FA7B34" w:rsidRDefault="00C81DF2">
            <w:pPr>
              <w:pStyle w:val="TableParagraph"/>
            </w:pPr>
          </w:p>
          <w:p w14:paraId="0D330A16" w14:textId="77777777" w:rsidR="00C81DF2" w:rsidRPr="00FA7B34" w:rsidRDefault="00C81DF2">
            <w:pPr>
              <w:pStyle w:val="TableParagraph"/>
              <w:spacing w:before="163"/>
            </w:pPr>
          </w:p>
          <w:p w14:paraId="7A169ED8" w14:textId="77777777" w:rsidR="00C81DF2" w:rsidRPr="00FA7B34" w:rsidRDefault="003D17AE">
            <w:pPr>
              <w:pStyle w:val="TableParagraph"/>
              <w:ind w:left="8"/>
              <w:jc w:val="center"/>
              <w:rPr>
                <w:b/>
              </w:rPr>
            </w:pPr>
            <w:r w:rsidRPr="00FA7B34">
              <w:rPr>
                <w:b/>
              </w:rPr>
              <w:t>4</w:t>
            </w:r>
          </w:p>
        </w:tc>
        <w:tc>
          <w:tcPr>
            <w:tcW w:w="8732" w:type="dxa"/>
            <w:gridSpan w:val="5"/>
            <w:tcBorders>
              <w:top w:val="nil"/>
            </w:tcBorders>
          </w:tcPr>
          <w:p w14:paraId="50D8AECB" w14:textId="77777777" w:rsidR="00C81DF2" w:rsidRPr="00FA7B34" w:rsidRDefault="003D17AE">
            <w:pPr>
              <w:pStyle w:val="TableParagraph"/>
              <w:spacing w:before="18" w:line="249" w:lineRule="exact"/>
              <w:ind w:left="4"/>
              <w:jc w:val="center"/>
              <w:rPr>
                <w:b/>
              </w:rPr>
            </w:pPr>
            <w:r w:rsidRPr="00FA7B34">
              <w:rPr>
                <w:b/>
              </w:rPr>
              <w:t>Nom officiel complet du compte d’épargne</w:t>
            </w:r>
          </w:p>
        </w:tc>
      </w:tr>
      <w:tr w:rsidR="00C81DF2" w:rsidRPr="00FA7B34" w14:paraId="0FD0C980" w14:textId="77777777">
        <w:trPr>
          <w:trHeight w:val="537"/>
        </w:trPr>
        <w:tc>
          <w:tcPr>
            <w:tcW w:w="521" w:type="dxa"/>
            <w:vMerge/>
            <w:tcBorders>
              <w:top w:val="nil"/>
            </w:tcBorders>
          </w:tcPr>
          <w:p w14:paraId="29400BB8" w14:textId="77777777" w:rsidR="00C81DF2" w:rsidRPr="00FA7B34" w:rsidRDefault="00C81DF2">
            <w:pPr>
              <w:rPr>
                <w:sz w:val="2"/>
                <w:szCs w:val="2"/>
              </w:rPr>
            </w:pPr>
          </w:p>
        </w:tc>
        <w:tc>
          <w:tcPr>
            <w:tcW w:w="1080" w:type="dxa"/>
          </w:tcPr>
          <w:p w14:paraId="190E61A5" w14:textId="77777777" w:rsidR="00C81DF2" w:rsidRPr="00FA7B34" w:rsidRDefault="003D17AE">
            <w:pPr>
              <w:pStyle w:val="TableParagraph"/>
              <w:spacing w:before="268" w:line="249" w:lineRule="exact"/>
              <w:ind w:right="118"/>
              <w:jc w:val="right"/>
              <w:rPr>
                <w:b/>
              </w:rPr>
            </w:pPr>
            <w:r w:rsidRPr="00FA7B34">
              <w:rPr>
                <w:b/>
              </w:rPr>
              <w:t>Catégorie</w:t>
            </w:r>
          </w:p>
        </w:tc>
        <w:tc>
          <w:tcPr>
            <w:tcW w:w="1418" w:type="dxa"/>
          </w:tcPr>
          <w:p w14:paraId="57C4BB93" w14:textId="77777777" w:rsidR="00C81DF2" w:rsidRPr="00FA7B34" w:rsidRDefault="003D17AE">
            <w:pPr>
              <w:pStyle w:val="TableParagraph"/>
              <w:spacing w:line="268" w:lineRule="exact"/>
              <w:ind w:left="66"/>
              <w:rPr>
                <w:b/>
              </w:rPr>
            </w:pPr>
            <w:r w:rsidRPr="00FA7B34">
              <w:rPr>
                <w:b/>
              </w:rPr>
              <w:t>Intérêt de</w:t>
            </w:r>
          </w:p>
          <w:p w14:paraId="315CDEEE" w14:textId="0D612DC9" w:rsidR="00C81DF2" w:rsidRPr="00FA7B34" w:rsidRDefault="00D160A9">
            <w:pPr>
              <w:pStyle w:val="TableParagraph"/>
              <w:spacing w:line="249" w:lineRule="exact"/>
              <w:ind w:left="66"/>
              <w:rPr>
                <w:b/>
              </w:rPr>
            </w:pPr>
            <w:r w:rsidRPr="00FA7B34">
              <w:rPr>
                <w:b/>
              </w:rPr>
              <w:t>B</w:t>
            </w:r>
            <w:r w:rsidR="003D17AE" w:rsidRPr="00FA7B34">
              <w:rPr>
                <w:b/>
              </w:rPr>
              <w:t>ase</w:t>
            </w:r>
          </w:p>
        </w:tc>
        <w:tc>
          <w:tcPr>
            <w:tcW w:w="1557" w:type="dxa"/>
          </w:tcPr>
          <w:p w14:paraId="52E112D9" w14:textId="77777777" w:rsidR="00C81DF2" w:rsidRPr="00FA7B34" w:rsidRDefault="003D17AE">
            <w:pPr>
              <w:pStyle w:val="TableParagraph"/>
              <w:spacing w:line="268" w:lineRule="exact"/>
              <w:ind w:left="67"/>
              <w:rPr>
                <w:b/>
              </w:rPr>
            </w:pPr>
            <w:r w:rsidRPr="00FA7B34">
              <w:rPr>
                <w:b/>
              </w:rPr>
              <w:t>Prime de</w:t>
            </w:r>
          </w:p>
          <w:p w14:paraId="1F9CE620" w14:textId="3B18384D" w:rsidR="00C81DF2" w:rsidRPr="00FA7B34" w:rsidRDefault="00BF3151">
            <w:pPr>
              <w:pStyle w:val="TableParagraph"/>
              <w:spacing w:line="249" w:lineRule="exact"/>
              <w:ind w:left="67"/>
              <w:rPr>
                <w:b/>
              </w:rPr>
            </w:pPr>
            <w:r w:rsidRPr="00FA7B34">
              <w:rPr>
                <w:b/>
              </w:rPr>
              <w:t>F</w:t>
            </w:r>
            <w:r w:rsidR="003D17AE" w:rsidRPr="00FA7B34">
              <w:rPr>
                <w:b/>
              </w:rPr>
              <w:t>idélité</w:t>
            </w:r>
          </w:p>
        </w:tc>
        <w:tc>
          <w:tcPr>
            <w:tcW w:w="2551" w:type="dxa"/>
          </w:tcPr>
          <w:p w14:paraId="6135248D" w14:textId="77777777" w:rsidR="00C81DF2" w:rsidRPr="00FA7B34" w:rsidRDefault="003D17AE">
            <w:pPr>
              <w:pStyle w:val="TableParagraph"/>
              <w:spacing w:line="268" w:lineRule="exact"/>
              <w:ind w:left="70"/>
              <w:rPr>
                <w:b/>
              </w:rPr>
            </w:pPr>
            <w:r w:rsidRPr="00FA7B34">
              <w:rPr>
                <w:b/>
              </w:rPr>
              <w:t>Addition du taux de base</w:t>
            </w:r>
          </w:p>
          <w:p w14:paraId="4EC827A3" w14:textId="77777777" w:rsidR="00C81DF2" w:rsidRPr="00FA7B34" w:rsidRDefault="003D17AE">
            <w:pPr>
              <w:pStyle w:val="TableParagraph"/>
              <w:spacing w:line="249" w:lineRule="exact"/>
              <w:ind w:left="70"/>
              <w:rPr>
                <w:b/>
              </w:rPr>
            </w:pPr>
            <w:r w:rsidRPr="00FA7B34">
              <w:rPr>
                <w:b/>
              </w:rPr>
              <w:t>et de la prime de fidélité</w:t>
            </w:r>
          </w:p>
        </w:tc>
        <w:tc>
          <w:tcPr>
            <w:tcW w:w="2126" w:type="dxa"/>
          </w:tcPr>
          <w:p w14:paraId="6FA58010" w14:textId="77777777" w:rsidR="00C81DF2" w:rsidRPr="00FA7B34" w:rsidRDefault="003D17AE">
            <w:pPr>
              <w:pStyle w:val="TableParagraph"/>
              <w:spacing w:line="268" w:lineRule="exact"/>
              <w:ind w:left="70"/>
              <w:rPr>
                <w:b/>
              </w:rPr>
            </w:pPr>
            <w:r w:rsidRPr="00FA7B34">
              <w:rPr>
                <w:b/>
              </w:rPr>
              <w:t>Conditions</w:t>
            </w:r>
          </w:p>
          <w:p w14:paraId="3B2EDC93" w14:textId="77777777" w:rsidR="00C81DF2" w:rsidRPr="00FA7B34" w:rsidRDefault="003D17AE">
            <w:pPr>
              <w:pStyle w:val="TableParagraph"/>
              <w:spacing w:line="249" w:lineRule="exact"/>
              <w:ind w:left="70"/>
              <w:rPr>
                <w:b/>
              </w:rPr>
            </w:pPr>
            <w:r w:rsidRPr="00FA7B34">
              <w:rPr>
                <w:b/>
              </w:rPr>
              <w:t>applicables</w:t>
            </w:r>
          </w:p>
        </w:tc>
      </w:tr>
      <w:tr w:rsidR="00C81DF2" w:rsidRPr="00FA7B34" w14:paraId="5C71D638" w14:textId="77777777">
        <w:trPr>
          <w:trHeight w:val="537"/>
        </w:trPr>
        <w:tc>
          <w:tcPr>
            <w:tcW w:w="521" w:type="dxa"/>
            <w:vMerge/>
            <w:tcBorders>
              <w:top w:val="nil"/>
            </w:tcBorders>
          </w:tcPr>
          <w:p w14:paraId="57CEDBA9" w14:textId="77777777" w:rsidR="00C81DF2" w:rsidRPr="00FA7B34" w:rsidRDefault="00C81DF2">
            <w:pPr>
              <w:rPr>
                <w:sz w:val="2"/>
                <w:szCs w:val="2"/>
              </w:rPr>
            </w:pPr>
          </w:p>
        </w:tc>
        <w:tc>
          <w:tcPr>
            <w:tcW w:w="1080" w:type="dxa"/>
          </w:tcPr>
          <w:p w14:paraId="35CDCA05" w14:textId="77777777" w:rsidR="00C81DF2" w:rsidRPr="00FA7B34" w:rsidRDefault="003D17AE">
            <w:pPr>
              <w:pStyle w:val="TableParagraph"/>
              <w:spacing w:before="133"/>
              <w:ind w:right="161"/>
              <w:jc w:val="right"/>
            </w:pPr>
            <w:r w:rsidRPr="00FA7B34">
              <w:t>A / B / C</w:t>
            </w:r>
          </w:p>
        </w:tc>
        <w:tc>
          <w:tcPr>
            <w:tcW w:w="1418" w:type="dxa"/>
          </w:tcPr>
          <w:p w14:paraId="32CC03AD" w14:textId="77777777" w:rsidR="00C81DF2" w:rsidRPr="00FA7B34" w:rsidRDefault="003D17AE">
            <w:pPr>
              <w:pStyle w:val="TableParagraph"/>
              <w:spacing w:line="268" w:lineRule="exact"/>
              <w:ind w:left="1" w:right="1"/>
              <w:jc w:val="center"/>
            </w:pPr>
            <w:r w:rsidRPr="00FA7B34">
              <w:t>X% sur base</w:t>
            </w:r>
          </w:p>
          <w:p w14:paraId="57B5BFDD" w14:textId="77777777" w:rsidR="00C81DF2" w:rsidRPr="00FA7B34" w:rsidRDefault="003D17AE">
            <w:pPr>
              <w:pStyle w:val="TableParagraph"/>
              <w:spacing w:line="249" w:lineRule="exact"/>
              <w:ind w:left="1"/>
              <w:jc w:val="center"/>
            </w:pPr>
            <w:r w:rsidRPr="00FA7B34">
              <w:t>annuelle</w:t>
            </w:r>
          </w:p>
        </w:tc>
        <w:tc>
          <w:tcPr>
            <w:tcW w:w="1557" w:type="dxa"/>
          </w:tcPr>
          <w:p w14:paraId="728E6E14" w14:textId="77777777" w:rsidR="00C81DF2" w:rsidRPr="00FA7B34" w:rsidRDefault="003D17AE">
            <w:pPr>
              <w:pStyle w:val="TableParagraph"/>
              <w:spacing w:line="268" w:lineRule="exact"/>
              <w:ind w:left="5"/>
              <w:jc w:val="center"/>
            </w:pPr>
            <w:r w:rsidRPr="00FA7B34">
              <w:t>X% sur base</w:t>
            </w:r>
          </w:p>
          <w:p w14:paraId="5D21EB93" w14:textId="2091B230" w:rsidR="00C81DF2" w:rsidRPr="00FA7B34" w:rsidRDefault="00BF3151">
            <w:pPr>
              <w:pStyle w:val="TableParagraph"/>
              <w:spacing w:line="249" w:lineRule="exact"/>
              <w:ind w:left="5" w:right="3"/>
              <w:jc w:val="center"/>
            </w:pPr>
            <w:r w:rsidRPr="00FA7B34">
              <w:t>A</w:t>
            </w:r>
            <w:r w:rsidR="003D17AE" w:rsidRPr="00FA7B34">
              <w:t>nnuelle</w:t>
            </w:r>
          </w:p>
        </w:tc>
        <w:tc>
          <w:tcPr>
            <w:tcW w:w="2551" w:type="dxa"/>
          </w:tcPr>
          <w:p w14:paraId="79575F69" w14:textId="77777777" w:rsidR="00C81DF2" w:rsidRPr="00FA7B34" w:rsidRDefault="003D17AE">
            <w:pPr>
              <w:pStyle w:val="TableParagraph"/>
              <w:spacing w:before="133"/>
              <w:ind w:left="12"/>
              <w:jc w:val="center"/>
            </w:pPr>
            <w:r w:rsidRPr="00FA7B34">
              <w:t>X% sur base annuelle</w:t>
            </w:r>
          </w:p>
        </w:tc>
        <w:tc>
          <w:tcPr>
            <w:tcW w:w="2126" w:type="dxa"/>
          </w:tcPr>
          <w:p w14:paraId="27F42666" w14:textId="77777777" w:rsidR="00C81DF2" w:rsidRPr="00FA7B34" w:rsidRDefault="003D17AE">
            <w:pPr>
              <w:pStyle w:val="TableParagraph"/>
              <w:spacing w:before="133"/>
              <w:ind w:left="71"/>
            </w:pPr>
            <w:r w:rsidRPr="00FA7B34">
              <w:t>TBC</w:t>
            </w:r>
          </w:p>
        </w:tc>
      </w:tr>
      <w:tr w:rsidR="00C81DF2" w:rsidRPr="00FA7B34" w14:paraId="5B394FE3" w14:textId="77777777">
        <w:trPr>
          <w:trHeight w:val="275"/>
        </w:trPr>
        <w:tc>
          <w:tcPr>
            <w:tcW w:w="521" w:type="dxa"/>
            <w:vMerge/>
            <w:tcBorders>
              <w:top w:val="nil"/>
            </w:tcBorders>
          </w:tcPr>
          <w:p w14:paraId="163400E8" w14:textId="77777777" w:rsidR="00C81DF2" w:rsidRPr="00FA7B34" w:rsidRDefault="00C81DF2">
            <w:pPr>
              <w:rPr>
                <w:sz w:val="2"/>
                <w:szCs w:val="2"/>
              </w:rPr>
            </w:pPr>
          </w:p>
        </w:tc>
        <w:tc>
          <w:tcPr>
            <w:tcW w:w="8732" w:type="dxa"/>
            <w:gridSpan w:val="5"/>
          </w:tcPr>
          <w:p w14:paraId="64138099" w14:textId="77777777" w:rsidR="00C81DF2" w:rsidRPr="00FA7B34" w:rsidRDefault="003D17AE">
            <w:pPr>
              <w:pStyle w:val="TableParagraph"/>
              <w:spacing w:before="6" w:line="249" w:lineRule="exact"/>
              <w:ind w:left="4" w:right="1"/>
              <w:jc w:val="center"/>
              <w:rPr>
                <w:i/>
              </w:rPr>
            </w:pPr>
            <w:r w:rsidRPr="00FA7B34">
              <w:rPr>
                <w:i/>
              </w:rPr>
              <w:t>Lien vers le document d'informations clés pour l'épargnant</w:t>
            </w:r>
          </w:p>
        </w:tc>
      </w:tr>
    </w:tbl>
    <w:p w14:paraId="40BA9D4B" w14:textId="0AA6C1B8" w:rsidR="00C81DF2" w:rsidRPr="00FA7B34" w:rsidRDefault="003D17AE">
      <w:pPr>
        <w:pStyle w:val="BodyText"/>
        <w:ind w:left="343" w:right="305"/>
      </w:pPr>
      <w:r w:rsidRPr="00FA7B34">
        <w:t>L</w:t>
      </w:r>
      <w:r w:rsidRPr="00FA7B34">
        <w:rPr>
          <w:b/>
        </w:rPr>
        <w:t xml:space="preserve">'intérêt de base </w:t>
      </w:r>
      <w:r w:rsidRPr="00FA7B34">
        <w:t xml:space="preserve">est acquis à partir du </w:t>
      </w:r>
      <w:r w:rsidRPr="00FA7B34">
        <w:rPr>
          <w:color w:val="000000"/>
          <w:highlight w:val="yellow"/>
        </w:rPr>
        <w:t xml:space="preserve">jour/lendemain </w:t>
      </w:r>
      <w:r w:rsidRPr="00FA7B34">
        <w:rPr>
          <w:color w:val="000000"/>
        </w:rPr>
        <w:t>du versement de l'argent sur le compte et jusqu'au jour du retrait. Le tarif de l'intérêt de base peut être modifié par la banque à tout moment. L'intérêt de base est versé sur votre compte en date valeur du 1</w:t>
      </w:r>
      <w:r w:rsidRPr="001C1D89">
        <w:rPr>
          <w:color w:val="000000"/>
          <w:vertAlign w:val="superscript"/>
        </w:rPr>
        <w:t>er</w:t>
      </w:r>
      <w:r w:rsidRPr="00FA7B34">
        <w:rPr>
          <w:color w:val="000000"/>
        </w:rPr>
        <w:t xml:space="preserve"> janvier ou lors de la clôture du compte.</w:t>
      </w:r>
    </w:p>
    <w:p w14:paraId="52311A51" w14:textId="77777777" w:rsidR="00C81DF2" w:rsidRPr="00FA7B34" w:rsidRDefault="00C81DF2">
      <w:pPr>
        <w:sectPr w:rsidR="00C81DF2" w:rsidRPr="00FA7B34">
          <w:type w:val="continuous"/>
          <w:pgSz w:w="11910" w:h="16840"/>
          <w:pgMar w:top="1380" w:right="600" w:bottom="280" w:left="1300" w:header="708" w:footer="708" w:gutter="0"/>
          <w:cols w:space="708"/>
        </w:sect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9516"/>
        <w:gridCol w:w="144"/>
      </w:tblGrid>
      <w:tr w:rsidR="00C81DF2" w:rsidRPr="00FA7B34" w14:paraId="4AE13E80" w14:textId="77777777">
        <w:trPr>
          <w:trHeight w:val="4022"/>
        </w:trPr>
        <w:tc>
          <w:tcPr>
            <w:tcW w:w="115" w:type="dxa"/>
          </w:tcPr>
          <w:p w14:paraId="40CB679F" w14:textId="77777777" w:rsidR="00C81DF2" w:rsidRPr="00FA7B34" w:rsidRDefault="00C81DF2">
            <w:pPr>
              <w:pStyle w:val="TableParagraph"/>
              <w:rPr>
                <w:rFonts w:ascii="Times New Roman"/>
              </w:rPr>
            </w:pPr>
          </w:p>
        </w:tc>
        <w:tc>
          <w:tcPr>
            <w:tcW w:w="9516" w:type="dxa"/>
            <w:tcBorders>
              <w:top w:val="double" w:sz="4" w:space="0" w:color="000000"/>
              <w:bottom w:val="single" w:sz="8" w:space="0" w:color="000000"/>
            </w:tcBorders>
          </w:tcPr>
          <w:p w14:paraId="56532291" w14:textId="53443B11" w:rsidR="00C81DF2" w:rsidRPr="00FA7B34" w:rsidRDefault="003D17AE">
            <w:pPr>
              <w:pStyle w:val="TableParagraph"/>
              <w:spacing w:before="264"/>
              <w:ind w:left="107" w:right="91"/>
              <w:jc w:val="both"/>
            </w:pPr>
            <w:r w:rsidRPr="00FA7B34">
              <w:t xml:space="preserve">La </w:t>
            </w:r>
            <w:r w:rsidRPr="00FA7B34">
              <w:rPr>
                <w:b/>
              </w:rPr>
              <w:t xml:space="preserve">prime de fidélité </w:t>
            </w:r>
            <w:r w:rsidRPr="00FA7B34">
              <w:t xml:space="preserve">n'est acquise que sur les montants qui sont restés de manière ininterrompue sur le compte d'épargne réglementé pendant 12 mois suivant le versement. Si vous retirez votre argent avant la fin de la période de 12 mois, vous ne recevrez pas de prime de fidélité sur cet argent. Ce retrait n'aura pas d'influence sur l'acquisition de l'intérêt de base. Cette prime court à partir du </w:t>
            </w:r>
            <w:r w:rsidRPr="00FA7B34">
              <w:rPr>
                <w:color w:val="000000"/>
                <w:highlight w:val="yellow"/>
              </w:rPr>
              <w:t>jour/lendemain</w:t>
            </w:r>
            <w:r w:rsidRPr="00FA7B34">
              <w:rPr>
                <w:color w:val="000000"/>
              </w:rPr>
              <w:t xml:space="preserve"> du versement. Le jour </w:t>
            </w:r>
            <w:r w:rsidR="00384138">
              <w:rPr>
                <w:color w:val="000000"/>
              </w:rPr>
              <w:t xml:space="preserve">suivant celui </w:t>
            </w:r>
            <w:r w:rsidRPr="00FA7B34">
              <w:rPr>
                <w:color w:val="000000"/>
              </w:rPr>
              <w:t xml:space="preserve">de l'acquisition de la prime de fidélité débute une nouvelle période d'acquisition de 12 mois. Le tarif de la prime de fidélité peut être modifié par la banque à tout moment. Le </w:t>
            </w:r>
            <w:r w:rsidR="001C1D89">
              <w:rPr>
                <w:color w:val="000000"/>
              </w:rPr>
              <w:t>taux</w:t>
            </w:r>
            <w:r w:rsidRPr="00FA7B34">
              <w:rPr>
                <w:color w:val="000000"/>
              </w:rPr>
              <w:t xml:space="preserve"> de la prime de fidélité en vigueur au moment du versement ou du départ d'une nouvelle période reste inchangé pendant une période de 12 mois. La prime de fidélité déjà acquise est versée sur votre compte le premier jour qui suit le trimestre au cours duquel elle est acquise, à savoir les 1</w:t>
            </w:r>
            <w:r w:rsidRPr="001C1D89">
              <w:rPr>
                <w:color w:val="000000"/>
                <w:vertAlign w:val="superscript"/>
              </w:rPr>
              <w:t>er</w:t>
            </w:r>
            <w:r w:rsidR="001C1D89">
              <w:rPr>
                <w:color w:val="000000"/>
              </w:rPr>
              <w:t xml:space="preserve"> </w:t>
            </w:r>
            <w:r w:rsidRPr="00FA7B34">
              <w:rPr>
                <w:color w:val="000000"/>
              </w:rPr>
              <w:t>janvier, 1</w:t>
            </w:r>
            <w:r w:rsidRPr="001C1D89">
              <w:rPr>
                <w:color w:val="000000"/>
                <w:vertAlign w:val="superscript"/>
              </w:rPr>
              <w:t>er</w:t>
            </w:r>
            <w:r w:rsidRPr="00FA7B34">
              <w:rPr>
                <w:color w:val="000000"/>
              </w:rPr>
              <w:t xml:space="preserve"> avril, 1</w:t>
            </w:r>
            <w:r w:rsidRPr="001C1D89">
              <w:rPr>
                <w:color w:val="000000"/>
                <w:vertAlign w:val="superscript"/>
              </w:rPr>
              <w:t>er</w:t>
            </w:r>
            <w:r w:rsidRPr="00FA7B34">
              <w:rPr>
                <w:color w:val="000000"/>
              </w:rPr>
              <w:t xml:space="preserve"> juillet et 1</w:t>
            </w:r>
            <w:r w:rsidRPr="001C1D89">
              <w:rPr>
                <w:color w:val="000000"/>
                <w:vertAlign w:val="superscript"/>
              </w:rPr>
              <w:t>er</w:t>
            </w:r>
            <w:r w:rsidRPr="00FA7B34">
              <w:rPr>
                <w:color w:val="000000"/>
              </w:rPr>
              <w:t xml:space="preserve"> octobre ou lors de la clôture du compte.</w:t>
            </w:r>
          </w:p>
          <w:p w14:paraId="4E61EC6B" w14:textId="0C3EE817" w:rsidR="00C81DF2" w:rsidRPr="00FA7B34" w:rsidRDefault="003D17AE">
            <w:pPr>
              <w:pStyle w:val="TableParagraph"/>
              <w:spacing w:before="2" w:line="237" w:lineRule="auto"/>
              <w:ind w:left="107" w:right="175"/>
            </w:pPr>
            <w:r w:rsidRPr="00FA7B34">
              <w:t xml:space="preserve">En cas de modification des taux mentionnés ci-dessus, les clients seront avertis de tout changement </w:t>
            </w:r>
            <w:r w:rsidRPr="00FA7B34">
              <w:rPr>
                <w:color w:val="000000"/>
                <w:highlight w:val="yellow"/>
              </w:rPr>
              <w:t>via leurs extraits de compte</w:t>
            </w:r>
            <w:r w:rsidRPr="00FA7B34">
              <w:rPr>
                <w:color w:val="000000"/>
              </w:rPr>
              <w:t>.</w:t>
            </w:r>
          </w:p>
          <w:p w14:paraId="1DB79340" w14:textId="09ED4692" w:rsidR="00C81DF2" w:rsidRPr="00FA7B34" w:rsidRDefault="003D17AE">
            <w:pPr>
              <w:pStyle w:val="TableParagraph"/>
              <w:spacing w:line="270" w:lineRule="atLeast"/>
              <w:ind w:left="107" w:right="175" w:firstLine="100"/>
            </w:pPr>
            <w:r w:rsidRPr="00FA7B34">
              <w:rPr>
                <w:b/>
                <w:u w:val="single"/>
              </w:rPr>
              <w:t>Frais</w:t>
            </w:r>
            <w:r w:rsidR="006743A4">
              <w:rPr>
                <w:b/>
                <w:u w:val="single"/>
              </w:rPr>
              <w:t> </w:t>
            </w:r>
            <w:r w:rsidRPr="00FA7B34">
              <w:rPr>
                <w:b/>
              </w:rPr>
              <w:t xml:space="preserve">: </w:t>
            </w:r>
            <w:r w:rsidRPr="00FA7B34">
              <w:t>ouverture/fermeture/décompte annuel co</w:t>
            </w:r>
            <w:r w:rsidR="001C1D89">
              <w:t>û</w:t>
            </w:r>
            <w:r w:rsidRPr="00FA7B34">
              <w:t xml:space="preserve">ts </w:t>
            </w:r>
            <w:r w:rsidR="001C1D89">
              <w:t>é</w:t>
            </w:r>
            <w:r w:rsidRPr="00FA7B34">
              <w:t>ventuels d’envoi de courrier et autres coûts : euros/gratuit</w:t>
            </w:r>
          </w:p>
        </w:tc>
        <w:tc>
          <w:tcPr>
            <w:tcW w:w="144" w:type="dxa"/>
          </w:tcPr>
          <w:p w14:paraId="2698B194" w14:textId="77777777" w:rsidR="00C81DF2" w:rsidRPr="00FA7B34" w:rsidRDefault="00C81DF2">
            <w:pPr>
              <w:pStyle w:val="TableParagraph"/>
              <w:rPr>
                <w:rFonts w:ascii="Times New Roman"/>
              </w:rPr>
            </w:pPr>
          </w:p>
        </w:tc>
      </w:tr>
      <w:tr w:rsidR="00C81DF2" w:rsidRPr="00FA7B34" w14:paraId="097D8ED1" w14:textId="77777777">
        <w:trPr>
          <w:trHeight w:val="1889"/>
        </w:trPr>
        <w:tc>
          <w:tcPr>
            <w:tcW w:w="9775" w:type="dxa"/>
            <w:gridSpan w:val="3"/>
            <w:tcBorders>
              <w:top w:val="single" w:sz="8" w:space="0" w:color="000000"/>
            </w:tcBorders>
          </w:tcPr>
          <w:p w14:paraId="3E279622" w14:textId="77777777" w:rsidR="00C81DF2" w:rsidRPr="00FA7B34" w:rsidRDefault="003D17AE">
            <w:pPr>
              <w:pStyle w:val="TableParagraph"/>
              <w:tabs>
                <w:tab w:val="left" w:pos="822"/>
              </w:tabs>
              <w:spacing w:line="267" w:lineRule="exact"/>
              <w:ind w:left="290"/>
              <w:rPr>
                <w:b/>
              </w:rPr>
            </w:pPr>
            <w:r w:rsidRPr="00FA7B34">
              <w:rPr>
                <w:b/>
              </w:rPr>
              <w:t>II.</w:t>
            </w:r>
            <w:r w:rsidRPr="00FA7B34">
              <w:rPr>
                <w:b/>
              </w:rPr>
              <w:tab/>
            </w:r>
            <w:r w:rsidRPr="00FA7B34">
              <w:rPr>
                <w:b/>
                <w:color w:val="000000"/>
                <w:highlight w:val="lightGray"/>
              </w:rPr>
              <w:t>Endroit où le calculateur d’épargne de Banque X peut être consulté</w:t>
            </w:r>
            <w:r w:rsidRPr="00FA7B34">
              <w:rPr>
                <w:b/>
                <w:color w:val="000000"/>
              </w:rPr>
              <w:t>.</w:t>
            </w:r>
          </w:p>
          <w:p w14:paraId="0FB763D5" w14:textId="48BC46A4" w:rsidR="00C81DF2" w:rsidRPr="00FA7B34" w:rsidRDefault="003D17AE" w:rsidP="00BF3151">
            <w:pPr>
              <w:pStyle w:val="TableParagraph"/>
              <w:spacing w:line="270" w:lineRule="atLeast"/>
              <w:ind w:left="823" w:right="193"/>
            </w:pPr>
            <w:r w:rsidRPr="00FA7B34">
              <w:t xml:space="preserve">Développé par chaque établissement de crédit, ce calculateur d’épargne s’applique à tous les comptes d’épargne individuels réglementés. L’objectif est de vous permettre de savoir dans quelle mesure les différents types d’intérêts (taux de base et prime de fidélité) sont acquis sur un compte donné, afin de pouvoir notamment estimer l’impact pécuniaire d’un éventuel retrait d’argent. Cet outil est accessible par voie </w:t>
            </w:r>
            <w:r w:rsidR="00BF3151">
              <w:t xml:space="preserve">électronique </w:t>
            </w:r>
            <w:r w:rsidRPr="00FA7B34">
              <w:t xml:space="preserve">après les vérifications nécessaires via votre </w:t>
            </w:r>
            <w:r w:rsidR="00BF3151">
              <w:t xml:space="preserve">PC </w:t>
            </w:r>
            <w:proofErr w:type="spellStart"/>
            <w:r w:rsidR="00BF3151">
              <w:t>banking</w:t>
            </w:r>
            <w:proofErr w:type="spellEnd"/>
            <w:r w:rsidRPr="00FA7B34">
              <w:t xml:space="preserve"> (</w:t>
            </w:r>
            <w:r w:rsidRPr="00FA7B34">
              <w:rPr>
                <w:color w:val="000000"/>
                <w:highlight w:val="yellow"/>
              </w:rPr>
              <w:t>plus d'infos = propre à la banque)</w:t>
            </w:r>
            <w:r w:rsidRPr="00FA7B34">
              <w:rPr>
                <w:color w:val="000000"/>
              </w:rPr>
              <w:t>.</w:t>
            </w:r>
          </w:p>
        </w:tc>
      </w:tr>
      <w:tr w:rsidR="00C81DF2" w:rsidRPr="002A1F7B" w14:paraId="342FCDD2" w14:textId="77777777">
        <w:trPr>
          <w:trHeight w:val="1190"/>
        </w:trPr>
        <w:tc>
          <w:tcPr>
            <w:tcW w:w="9775" w:type="dxa"/>
            <w:gridSpan w:val="3"/>
          </w:tcPr>
          <w:p w14:paraId="30DC9063" w14:textId="77777777" w:rsidR="00C81DF2" w:rsidRPr="00FA7B34" w:rsidRDefault="003D17AE">
            <w:pPr>
              <w:pStyle w:val="TableParagraph"/>
              <w:tabs>
                <w:tab w:val="left" w:pos="822"/>
              </w:tabs>
              <w:spacing w:before="1" w:line="267" w:lineRule="exact"/>
              <w:ind w:left="232"/>
              <w:rPr>
                <w:b/>
              </w:rPr>
            </w:pPr>
            <w:r w:rsidRPr="00FA7B34">
              <w:rPr>
                <w:b/>
              </w:rPr>
              <w:t>III.</w:t>
            </w:r>
            <w:r w:rsidRPr="00FA7B34">
              <w:rPr>
                <w:b/>
              </w:rPr>
              <w:tab/>
              <w:t>Quel compte et quelle rémunération correspond à vos besoins ?</w:t>
            </w:r>
          </w:p>
          <w:p w14:paraId="189C031A" w14:textId="79EEE887" w:rsidR="00C81DF2" w:rsidRPr="002A1F7B" w:rsidRDefault="003D17AE" w:rsidP="00BF3151">
            <w:pPr>
              <w:pStyle w:val="TableParagraph"/>
              <w:ind w:left="823" w:right="193"/>
            </w:pPr>
            <w:r w:rsidRPr="002A1F7B">
              <w:t xml:space="preserve">Via </w:t>
            </w:r>
            <w:r w:rsidR="002A1F7B" w:rsidRPr="002A1F7B">
              <w:t>ce lien</w:t>
            </w:r>
            <w:r w:rsidRPr="002A1F7B">
              <w:t xml:space="preserve"> </w:t>
            </w:r>
            <w:r w:rsidRPr="002A1F7B">
              <w:rPr>
                <w:color w:val="000000"/>
                <w:highlight w:val="yellow"/>
              </w:rPr>
              <w:t>(XXXX)</w:t>
            </w:r>
            <w:r w:rsidR="002A1F7B" w:rsidRPr="002A1F7B">
              <w:rPr>
                <w:color w:val="000000"/>
              </w:rPr>
              <w:t xml:space="preserve">, vous aboutissez </w:t>
            </w:r>
            <w:r w:rsidR="006743A4">
              <w:rPr>
                <w:color w:val="000000"/>
              </w:rPr>
              <w:t>sur</w:t>
            </w:r>
            <w:r w:rsidR="002A1F7B" w:rsidRPr="002A1F7B">
              <w:rPr>
                <w:color w:val="000000"/>
              </w:rPr>
              <w:t xml:space="preserve"> la page web du </w:t>
            </w:r>
            <w:r w:rsidRPr="002A1F7B">
              <w:rPr>
                <w:b/>
                <w:color w:val="000000"/>
              </w:rPr>
              <w:t>simulat</w:t>
            </w:r>
            <w:r w:rsidR="002A1F7B" w:rsidRPr="002A1F7B">
              <w:rPr>
                <w:b/>
                <w:color w:val="000000"/>
              </w:rPr>
              <w:t>eur</w:t>
            </w:r>
            <w:r w:rsidRPr="002A1F7B">
              <w:rPr>
                <w:b/>
                <w:color w:val="000000"/>
              </w:rPr>
              <w:t xml:space="preserve"> </w:t>
            </w:r>
            <w:r w:rsidRPr="002A1F7B">
              <w:rPr>
                <w:color w:val="000000"/>
              </w:rPr>
              <w:t>d</w:t>
            </w:r>
            <w:r w:rsidR="002A1F7B" w:rsidRPr="002A1F7B">
              <w:rPr>
                <w:color w:val="000000"/>
              </w:rPr>
              <w:t>éveloppé par la FSMA et dont l’objectif, après avoir introduit quelques donn</w:t>
            </w:r>
            <w:r w:rsidR="002A1F7B">
              <w:rPr>
                <w:color w:val="000000"/>
              </w:rPr>
              <w:t>é</w:t>
            </w:r>
            <w:r w:rsidR="002A1F7B" w:rsidRPr="002A1F7B">
              <w:rPr>
                <w:color w:val="000000"/>
              </w:rPr>
              <w:t>es comme le montant et la durée de l’épargne, est de vous offrir un ap</w:t>
            </w:r>
            <w:r w:rsidR="002A1F7B">
              <w:rPr>
                <w:color w:val="000000"/>
              </w:rPr>
              <w:t>erçu d</w:t>
            </w:r>
            <w:r w:rsidR="00BF3151">
              <w:rPr>
                <w:color w:val="000000"/>
              </w:rPr>
              <w:t xml:space="preserve">e la rémunération </w:t>
            </w:r>
            <w:r w:rsidR="002A1F7B">
              <w:rPr>
                <w:color w:val="000000"/>
              </w:rPr>
              <w:t>par compte d’épargne réglementé et par établissement.</w:t>
            </w:r>
          </w:p>
        </w:tc>
      </w:tr>
      <w:tr w:rsidR="00C81DF2" w:rsidRPr="00FA7B34" w14:paraId="533A8E99" w14:textId="77777777">
        <w:trPr>
          <w:trHeight w:val="803"/>
        </w:trPr>
        <w:tc>
          <w:tcPr>
            <w:tcW w:w="9775" w:type="dxa"/>
            <w:gridSpan w:val="3"/>
          </w:tcPr>
          <w:p w14:paraId="50010C1D" w14:textId="68916221" w:rsidR="00C81DF2" w:rsidRPr="00FA7B34" w:rsidRDefault="003D17AE" w:rsidP="006743A4">
            <w:pPr>
              <w:pStyle w:val="TableParagraph"/>
              <w:tabs>
                <w:tab w:val="left" w:pos="830"/>
              </w:tabs>
              <w:spacing w:line="268" w:lineRule="exact"/>
            </w:pPr>
            <w:r w:rsidRPr="00FA7B34">
              <w:rPr>
                <w:b/>
              </w:rPr>
              <w:t>IV.</w:t>
            </w:r>
            <w:r w:rsidRPr="00FA7B34">
              <w:rPr>
                <w:b/>
              </w:rPr>
              <w:tab/>
            </w:r>
            <w:r w:rsidRPr="00FA7B34">
              <w:rPr>
                <w:b/>
                <w:color w:val="000000"/>
                <w:highlight w:val="lightGray"/>
              </w:rPr>
              <w:t>Lien vers le service de mobilité interbancaire</w:t>
            </w:r>
            <w:r w:rsidRPr="00FA7B34">
              <w:rPr>
                <w:b/>
                <w:color w:val="000000"/>
              </w:rPr>
              <w:t xml:space="preserve"> : </w:t>
            </w:r>
            <w:r w:rsidRPr="00FA7B34">
              <w:rPr>
                <w:color w:val="000000"/>
              </w:rPr>
              <w:t xml:space="preserve">Ce lien </w:t>
            </w:r>
            <w:r w:rsidRPr="00FA7B34">
              <w:rPr>
                <w:color w:val="000000"/>
                <w:highlight w:val="yellow"/>
              </w:rPr>
              <w:t>(XXXX)</w:t>
            </w:r>
            <w:r w:rsidRPr="00FA7B34">
              <w:rPr>
                <w:color w:val="000000"/>
              </w:rPr>
              <w:t xml:space="preserve"> vous amène à la page du </w:t>
            </w:r>
            <w:r w:rsidRPr="00FA7B34">
              <w:rPr>
                <w:b/>
                <w:color w:val="000000"/>
              </w:rPr>
              <w:t>service de</w:t>
            </w:r>
            <w:r w:rsidR="001C1D89">
              <w:rPr>
                <w:b/>
                <w:color w:val="000000"/>
              </w:rPr>
              <w:t xml:space="preserve"> </w:t>
            </w:r>
            <w:r w:rsidRPr="00FA7B34">
              <w:rPr>
                <w:b/>
                <w:color w:val="000000"/>
              </w:rPr>
              <w:t>mobilité interbancaire</w:t>
            </w:r>
            <w:r w:rsidR="001C1D89">
              <w:rPr>
                <w:b/>
                <w:color w:val="000000"/>
              </w:rPr>
              <w:t xml:space="preserve"> </w:t>
            </w:r>
            <w:r w:rsidRPr="00FA7B34">
              <w:t>de Febelfin, où vous trouverez toutes les informations nécessaires pour faire appel à ce service</w:t>
            </w:r>
            <w:r w:rsidR="001C1D89">
              <w:t xml:space="preserve"> </w:t>
            </w:r>
            <w:r w:rsidRPr="00FA7B34">
              <w:t>en vue d'un éventuel changement de banque.</w:t>
            </w:r>
          </w:p>
        </w:tc>
      </w:tr>
      <w:tr w:rsidR="00C81DF2" w:rsidRPr="00FA7B34" w14:paraId="324DB12E" w14:textId="77777777">
        <w:trPr>
          <w:trHeight w:val="2150"/>
        </w:trPr>
        <w:tc>
          <w:tcPr>
            <w:tcW w:w="9775" w:type="dxa"/>
            <w:gridSpan w:val="3"/>
          </w:tcPr>
          <w:p w14:paraId="087D6A2A" w14:textId="77777777" w:rsidR="00C81DF2" w:rsidRPr="00FA7B34" w:rsidRDefault="003D17AE">
            <w:pPr>
              <w:pStyle w:val="TableParagraph"/>
              <w:tabs>
                <w:tab w:val="left" w:pos="830"/>
              </w:tabs>
              <w:spacing w:before="1" w:line="267" w:lineRule="exact"/>
              <w:ind w:left="280"/>
              <w:rPr>
                <w:b/>
              </w:rPr>
            </w:pPr>
            <w:r w:rsidRPr="00FA7B34">
              <w:rPr>
                <w:b/>
              </w:rPr>
              <w:t>V.</w:t>
            </w:r>
            <w:r w:rsidRPr="00FA7B34">
              <w:rPr>
                <w:b/>
              </w:rPr>
              <w:tab/>
              <w:t>Principaux risques</w:t>
            </w:r>
          </w:p>
          <w:p w14:paraId="4E5E73EC" w14:textId="515DE8C9" w:rsidR="00C81DF2" w:rsidRPr="00FA7B34" w:rsidRDefault="003D17AE">
            <w:pPr>
              <w:pStyle w:val="TableParagraph"/>
              <w:ind w:left="830" w:right="149"/>
            </w:pPr>
            <w:r w:rsidRPr="00FA7B34">
              <w:rPr>
                <w:u w:val="single"/>
              </w:rPr>
              <w:t>Risque de faillite :</w:t>
            </w:r>
            <w:r w:rsidRPr="00FA7B34">
              <w:t xml:space="preserve"> En cas de faillite ou de risque de faillite de l’établissement financier, l’épargnant supporte le risque de ne pas retrouver son épargne ou peut se voir imposer une diminution / conversion en actions de capital (Bail-in) du montant des créances qu’il possède sur l’établissement financier </w:t>
            </w:r>
            <w:r w:rsidR="002A1F7B" w:rsidRPr="00FA7B34">
              <w:t>au-delà</w:t>
            </w:r>
            <w:r w:rsidRPr="00FA7B34">
              <w:t xml:space="preserve"> de 100.000 euros, montant qui tombe sous le mécanisme de protection des dépôts. Vous pouvez obtenir plus d’informations sur ce système de protection sur le site internet Fonds de garantie et Fonds de protection | (belgium.be).</w:t>
            </w:r>
          </w:p>
          <w:p w14:paraId="1891F416" w14:textId="77777777" w:rsidR="00C81DF2" w:rsidRPr="00FA7B34" w:rsidRDefault="003D17AE">
            <w:pPr>
              <w:pStyle w:val="TableParagraph"/>
              <w:spacing w:before="1" w:line="249" w:lineRule="exact"/>
              <w:ind w:left="830"/>
            </w:pPr>
            <w:r w:rsidRPr="00FA7B34">
              <w:rPr>
                <w:u w:val="single"/>
              </w:rPr>
              <w:t>Risque d’inflation :</w:t>
            </w:r>
            <w:r w:rsidRPr="00FA7B34">
              <w:t xml:space="preserve"> La hausse continue des prix pourrait faire perdre de la valeur à l’argent déposé.</w:t>
            </w:r>
          </w:p>
        </w:tc>
      </w:tr>
      <w:tr w:rsidR="00C81DF2" w:rsidRPr="00FA7B34" w14:paraId="30DC820D" w14:textId="77777777">
        <w:trPr>
          <w:trHeight w:val="806"/>
        </w:trPr>
        <w:tc>
          <w:tcPr>
            <w:tcW w:w="9775" w:type="dxa"/>
            <w:gridSpan w:val="3"/>
          </w:tcPr>
          <w:p w14:paraId="69930C99" w14:textId="5D5B72E9" w:rsidR="00C81DF2" w:rsidRPr="00FA7B34" w:rsidRDefault="003D17AE">
            <w:pPr>
              <w:pStyle w:val="TableParagraph"/>
              <w:tabs>
                <w:tab w:val="left" w:pos="830"/>
              </w:tabs>
              <w:spacing w:line="268" w:lineRule="exact"/>
              <w:ind w:left="222"/>
            </w:pPr>
            <w:r w:rsidRPr="00FA7B34">
              <w:rPr>
                <w:b/>
              </w:rPr>
              <w:t>VI.</w:t>
            </w:r>
            <w:r w:rsidRPr="00FA7B34">
              <w:rPr>
                <w:b/>
              </w:rPr>
              <w:tab/>
            </w:r>
            <w:r w:rsidR="00AC0465">
              <w:rPr>
                <w:b/>
              </w:rPr>
              <w:t>Autres</w:t>
            </w:r>
            <w:r w:rsidRPr="00FA7B34">
              <w:rPr>
                <w:b/>
              </w:rPr>
              <w:t xml:space="preserve"> : </w:t>
            </w:r>
            <w:r w:rsidRPr="00FA7B34">
              <w:t>Le(s) compte(s) d'épargne décrit(s) sur cette page est/sont un/des compte(s)</w:t>
            </w:r>
          </w:p>
          <w:p w14:paraId="49573015" w14:textId="77777777" w:rsidR="00C81DF2" w:rsidRPr="00FA7B34" w:rsidRDefault="003D17AE">
            <w:pPr>
              <w:pStyle w:val="TableParagraph"/>
              <w:spacing w:line="270" w:lineRule="atLeast"/>
              <w:ind w:left="830"/>
            </w:pPr>
            <w:r w:rsidRPr="00FA7B34">
              <w:t>d’épargne réglementé(s) de la banque XXX. Ce(s) produit(s) est/sont régi(s) par le droit belge et a/ont une durée illimitée.</w:t>
            </w:r>
          </w:p>
        </w:tc>
      </w:tr>
      <w:tr w:rsidR="00C81DF2" w:rsidRPr="00FA7B34" w14:paraId="3366DB3B" w14:textId="77777777">
        <w:trPr>
          <w:trHeight w:val="2145"/>
        </w:trPr>
        <w:tc>
          <w:tcPr>
            <w:tcW w:w="9775" w:type="dxa"/>
            <w:gridSpan w:val="3"/>
          </w:tcPr>
          <w:p w14:paraId="16760032" w14:textId="77777777" w:rsidR="00C81DF2" w:rsidRPr="00FA7B34" w:rsidRDefault="003D17AE">
            <w:pPr>
              <w:pStyle w:val="TableParagraph"/>
              <w:tabs>
                <w:tab w:val="left" w:pos="830"/>
              </w:tabs>
              <w:ind w:left="830" w:right="149" w:hanging="668"/>
            </w:pPr>
            <w:r w:rsidRPr="00FA7B34">
              <w:rPr>
                <w:b/>
              </w:rPr>
              <w:t>VII.</w:t>
            </w:r>
            <w:r w:rsidRPr="00FA7B34">
              <w:rPr>
                <w:b/>
              </w:rPr>
              <w:tab/>
              <w:t xml:space="preserve">Fiscalité : </w:t>
            </w:r>
            <w:r w:rsidRPr="00FA7B34">
              <w:t>Le précompte mobilier n'est pas dû sur la première tranche d’intérêts (à concurrence d'un plafond de 1 020 EUR pour l’année de revenus 2024) perçus par compte, par personne physique résidente en Belgique et par année. Ce montant est doublé pour les comptes ouverts au nom de conjoints mariés ou cohabitants légaux (soit un plafond de 2 040 EUR pour l’année de revenus 2024). Le précompte mobilier est de 15% pour tout intérêt qui dépasse le plafond. Il est retenu à la source automatiquement par votre banque. Si vous disposez de plusieurs comptes d’épargne, vous êtes tenu de mentionner dans votre déclaration fiscale les intérêts perçus au-delà</w:t>
            </w:r>
          </w:p>
          <w:p w14:paraId="47F23EFA" w14:textId="77777777" w:rsidR="00C81DF2" w:rsidRPr="00FA7B34" w:rsidRDefault="003D17AE">
            <w:pPr>
              <w:pStyle w:val="TableParagraph"/>
              <w:spacing w:line="249" w:lineRule="exact"/>
              <w:ind w:left="830"/>
            </w:pPr>
            <w:r w:rsidRPr="00FA7B34">
              <w:t>du plafond et qui n’ont pas été soumis au précompte mobilier.</w:t>
            </w:r>
          </w:p>
        </w:tc>
      </w:tr>
      <w:tr w:rsidR="00C81DF2" w:rsidRPr="00FA7B34" w14:paraId="515D9145" w14:textId="77777777">
        <w:trPr>
          <w:trHeight w:val="806"/>
        </w:trPr>
        <w:tc>
          <w:tcPr>
            <w:tcW w:w="9775" w:type="dxa"/>
            <w:gridSpan w:val="3"/>
          </w:tcPr>
          <w:p w14:paraId="0BF53B2E" w14:textId="77777777" w:rsidR="00C81DF2" w:rsidRPr="00FA7B34" w:rsidRDefault="003D17AE">
            <w:pPr>
              <w:pStyle w:val="TableParagraph"/>
              <w:tabs>
                <w:tab w:val="left" w:pos="830"/>
              </w:tabs>
              <w:spacing w:line="268" w:lineRule="exact"/>
              <w:ind w:left="105"/>
            </w:pPr>
            <w:r w:rsidRPr="00FA7B34">
              <w:rPr>
                <w:b/>
              </w:rPr>
              <w:t>VIII.</w:t>
            </w:r>
            <w:r w:rsidRPr="00FA7B34">
              <w:rPr>
                <w:b/>
              </w:rPr>
              <w:tab/>
              <w:t xml:space="preserve">Plaintes : </w:t>
            </w:r>
            <w:r w:rsidRPr="00FA7B34">
              <w:t xml:space="preserve">en cas de plainte, vous pouvez vous adresser à </w:t>
            </w:r>
            <w:r w:rsidRPr="00FA7B34">
              <w:rPr>
                <w:color w:val="000000"/>
                <w:highlight w:val="yellow"/>
              </w:rPr>
              <w:t>renvoi vers le service interne de plaintes</w:t>
            </w:r>
            <w:r w:rsidRPr="00FA7B34">
              <w:rPr>
                <w:color w:val="000000"/>
              </w:rPr>
              <w:t>.</w:t>
            </w:r>
          </w:p>
          <w:p w14:paraId="59EC17E5" w14:textId="1AB8444F" w:rsidR="00C81DF2" w:rsidRPr="00FA7B34" w:rsidRDefault="003D17AE">
            <w:pPr>
              <w:pStyle w:val="TableParagraph"/>
              <w:spacing w:line="270" w:lineRule="atLeast"/>
              <w:ind w:left="830" w:right="193"/>
            </w:pPr>
            <w:r w:rsidRPr="00FA7B34">
              <w:t>Si vous n'obtenez pas satisfaction, contactez l'Ombudsman en conflits financiers (</w:t>
            </w:r>
            <w:hyperlink r:id="rId6">
              <w:r w:rsidRPr="00FA7B34">
                <w:rPr>
                  <w:u w:val="single"/>
                </w:rPr>
                <w:t>www.ombudsfin.be</w:t>
              </w:r>
            </w:hyperlink>
            <w:r w:rsidRPr="00FA7B34">
              <w:t>).</w:t>
            </w:r>
          </w:p>
        </w:tc>
      </w:tr>
    </w:tbl>
    <w:p w14:paraId="0D9ADF2F" w14:textId="77777777" w:rsidR="00C5261E" w:rsidRDefault="00C5261E"/>
    <w:sectPr w:rsidR="00C5261E">
      <w:pgSz w:w="11910" w:h="16840"/>
      <w:pgMar w:top="1380" w:right="6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98A7" w14:textId="77777777" w:rsidR="0061017E" w:rsidRDefault="0061017E" w:rsidP="0071420F">
      <w:r>
        <w:separator/>
      </w:r>
    </w:p>
  </w:endnote>
  <w:endnote w:type="continuationSeparator" w:id="0">
    <w:p w14:paraId="298FA6B2" w14:textId="77777777" w:rsidR="0061017E" w:rsidRDefault="0061017E" w:rsidP="0071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AD7C" w14:textId="77777777" w:rsidR="0061017E" w:rsidRDefault="0061017E" w:rsidP="0071420F">
      <w:r>
        <w:separator/>
      </w:r>
    </w:p>
  </w:footnote>
  <w:footnote w:type="continuationSeparator" w:id="0">
    <w:p w14:paraId="0FDD76CE" w14:textId="77777777" w:rsidR="0061017E" w:rsidRDefault="0061017E" w:rsidP="00714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F2"/>
    <w:rsid w:val="001C1D89"/>
    <w:rsid w:val="002A1F7B"/>
    <w:rsid w:val="00384138"/>
    <w:rsid w:val="003D17AE"/>
    <w:rsid w:val="005D2C04"/>
    <w:rsid w:val="0061017E"/>
    <w:rsid w:val="006743A4"/>
    <w:rsid w:val="0071420F"/>
    <w:rsid w:val="007A1D3E"/>
    <w:rsid w:val="00AC0465"/>
    <w:rsid w:val="00BF3151"/>
    <w:rsid w:val="00C5261E"/>
    <w:rsid w:val="00C81DF2"/>
    <w:rsid w:val="00CD2AD6"/>
    <w:rsid w:val="00D160A9"/>
    <w:rsid w:val="00E453FE"/>
    <w:rsid w:val="00E72B16"/>
    <w:rsid w:val="00FA7B34"/>
    <w:rsid w:val="00FF244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5"/>
      <w:ind w:left="231"/>
    </w:pPr>
  </w:style>
  <w:style w:type="paragraph" w:styleId="Title">
    <w:name w:val="Title"/>
    <w:basedOn w:val="Normal"/>
    <w:uiPriority w:val="10"/>
    <w:qFormat/>
    <w:pPr>
      <w:spacing w:before="31"/>
      <w:ind w:left="23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C1D89"/>
    <w:rPr>
      <w:sz w:val="16"/>
      <w:szCs w:val="16"/>
    </w:rPr>
  </w:style>
  <w:style w:type="paragraph" w:styleId="CommentText">
    <w:name w:val="annotation text"/>
    <w:basedOn w:val="Normal"/>
    <w:link w:val="CommentTextChar"/>
    <w:uiPriority w:val="99"/>
    <w:unhideWhenUsed/>
    <w:rsid w:val="001C1D89"/>
    <w:rPr>
      <w:sz w:val="20"/>
      <w:szCs w:val="20"/>
    </w:rPr>
  </w:style>
  <w:style w:type="character" w:customStyle="1" w:styleId="CommentTextChar">
    <w:name w:val="Comment Text Char"/>
    <w:basedOn w:val="DefaultParagraphFont"/>
    <w:link w:val="CommentText"/>
    <w:uiPriority w:val="99"/>
    <w:rsid w:val="001C1D8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1D89"/>
    <w:rPr>
      <w:b/>
      <w:bCs/>
    </w:rPr>
  </w:style>
  <w:style w:type="character" w:customStyle="1" w:styleId="CommentSubjectChar">
    <w:name w:val="Comment Subject Char"/>
    <w:basedOn w:val="CommentTextChar"/>
    <w:link w:val="CommentSubject"/>
    <w:uiPriority w:val="99"/>
    <w:semiHidden/>
    <w:rsid w:val="001C1D89"/>
    <w:rPr>
      <w:rFonts w:ascii="Calibri" w:eastAsia="Calibri" w:hAnsi="Calibri" w:cs="Calibri"/>
      <w:b/>
      <w:bCs/>
      <w:sz w:val="20"/>
      <w:szCs w:val="20"/>
    </w:rPr>
  </w:style>
  <w:style w:type="paragraph" w:styleId="Header">
    <w:name w:val="header"/>
    <w:basedOn w:val="Normal"/>
    <w:link w:val="HeaderChar"/>
    <w:uiPriority w:val="99"/>
    <w:unhideWhenUsed/>
    <w:rsid w:val="0071420F"/>
    <w:pPr>
      <w:tabs>
        <w:tab w:val="center" w:pos="4513"/>
        <w:tab w:val="right" w:pos="9026"/>
      </w:tabs>
    </w:pPr>
  </w:style>
  <w:style w:type="character" w:customStyle="1" w:styleId="HeaderChar">
    <w:name w:val="Header Char"/>
    <w:basedOn w:val="DefaultParagraphFont"/>
    <w:link w:val="Header"/>
    <w:uiPriority w:val="99"/>
    <w:rsid w:val="0071420F"/>
    <w:rPr>
      <w:rFonts w:ascii="Calibri" w:eastAsia="Calibri" w:hAnsi="Calibri" w:cs="Calibri"/>
    </w:rPr>
  </w:style>
  <w:style w:type="paragraph" w:styleId="Footer">
    <w:name w:val="footer"/>
    <w:basedOn w:val="Normal"/>
    <w:link w:val="FooterChar"/>
    <w:uiPriority w:val="99"/>
    <w:unhideWhenUsed/>
    <w:rsid w:val="0071420F"/>
    <w:pPr>
      <w:tabs>
        <w:tab w:val="center" w:pos="4513"/>
        <w:tab w:val="right" w:pos="9026"/>
      </w:tabs>
    </w:pPr>
  </w:style>
  <w:style w:type="character" w:customStyle="1" w:styleId="FooterChar">
    <w:name w:val="Footer Char"/>
    <w:basedOn w:val="DefaultParagraphFont"/>
    <w:link w:val="Footer"/>
    <w:uiPriority w:val="99"/>
    <w:rsid w:val="0071420F"/>
    <w:rPr>
      <w:rFonts w:ascii="Calibri" w:eastAsia="Calibri" w:hAnsi="Calibri" w:cs="Calibri"/>
    </w:rPr>
  </w:style>
  <w:style w:type="paragraph" w:styleId="BalloonText">
    <w:name w:val="Balloon Text"/>
    <w:basedOn w:val="Normal"/>
    <w:link w:val="BalloonTextChar"/>
    <w:uiPriority w:val="99"/>
    <w:semiHidden/>
    <w:unhideWhenUsed/>
    <w:rsid w:val="00BF3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151"/>
    <w:rPr>
      <w:rFonts w:ascii="Segoe UI" w:eastAsia="Calibri" w:hAnsi="Segoe UI" w:cs="Segoe UI"/>
      <w:sz w:val="18"/>
      <w:szCs w:val="18"/>
    </w:rPr>
  </w:style>
  <w:style w:type="paragraph" w:styleId="Revision">
    <w:name w:val="Revision"/>
    <w:hidden/>
    <w:uiPriority w:val="99"/>
    <w:semiHidden/>
    <w:rsid w:val="00FF244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budsfin.b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2023-12-15T15:54:00Z</dcterms:created>
  <dcterms:modified xsi:type="dcterms:W3CDTF">2023-12-18T07:21:00Z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