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06B3" w14:textId="77777777" w:rsidR="002050D1" w:rsidRDefault="00000000">
      <w:pPr>
        <w:pStyle w:val="Titel"/>
      </w:pPr>
      <w:r>
        <w:rPr>
          <w:noProof/>
        </w:rPr>
        <mc:AlternateContent>
          <mc:Choice Requires="wpg">
            <w:drawing>
              <wp:anchor distT="0" distB="0" distL="0" distR="0" simplePos="0" relativeHeight="487446016" behindDoc="1" locked="0" layoutInCell="1" allowOverlap="1" wp14:anchorId="6FEB90FA" wp14:editId="3B25B20B">
                <wp:simplePos x="0" y="0"/>
                <wp:positionH relativeFrom="page">
                  <wp:posOffset>899160</wp:posOffset>
                </wp:positionH>
                <wp:positionV relativeFrom="page">
                  <wp:posOffset>899160</wp:posOffset>
                </wp:positionV>
                <wp:extent cx="6213475" cy="87268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3475" cy="8726805"/>
                          <a:chOff x="0" y="0"/>
                          <a:chExt cx="6213475" cy="8726805"/>
                        </a:xfrm>
                      </wpg:grpSpPr>
                      <wps:wsp>
                        <wps:cNvPr id="2" name="Graphic 2"/>
                        <wps:cNvSpPr/>
                        <wps:spPr>
                          <a:xfrm>
                            <a:off x="7619" y="7619"/>
                            <a:ext cx="6201410" cy="969644"/>
                          </a:xfrm>
                          <a:custGeom>
                            <a:avLst/>
                            <a:gdLst/>
                            <a:ahLst/>
                            <a:cxnLst/>
                            <a:rect l="l" t="t" r="r" b="b"/>
                            <a:pathLst>
                              <a:path w="6201410" h="969644">
                                <a:moveTo>
                                  <a:pt x="6201155" y="969264"/>
                                </a:moveTo>
                                <a:lnTo>
                                  <a:pt x="0" y="969264"/>
                                </a:lnTo>
                                <a:lnTo>
                                  <a:pt x="0" y="0"/>
                                </a:lnTo>
                                <a:lnTo>
                                  <a:pt x="6201155" y="0"/>
                                </a:lnTo>
                                <a:lnTo>
                                  <a:pt x="6201155" y="969264"/>
                                </a:lnTo>
                                <a:close/>
                              </a:path>
                            </a:pathLst>
                          </a:custGeom>
                          <a:solidFill>
                            <a:srgbClr val="E6E6E6"/>
                          </a:solidFill>
                        </wps:spPr>
                        <wps:bodyPr wrap="square" lIns="0" tIns="0" rIns="0" bIns="0" rtlCol="0">
                          <a:prstTxWarp prst="textNoShape">
                            <a:avLst/>
                          </a:prstTxWarp>
                          <a:noAutofit/>
                        </wps:bodyPr>
                      </wps:wsp>
                      <wps:wsp>
                        <wps:cNvPr id="3" name="Graphic 3"/>
                        <wps:cNvSpPr/>
                        <wps:spPr>
                          <a:xfrm>
                            <a:off x="0" y="0"/>
                            <a:ext cx="6213475" cy="8726805"/>
                          </a:xfrm>
                          <a:custGeom>
                            <a:avLst/>
                            <a:gdLst/>
                            <a:ahLst/>
                            <a:cxnLst/>
                            <a:rect l="l" t="t" r="r" b="b"/>
                            <a:pathLst>
                              <a:path w="6213475" h="8726805">
                                <a:moveTo>
                                  <a:pt x="6213335" y="0"/>
                                </a:moveTo>
                                <a:lnTo>
                                  <a:pt x="6207252" y="0"/>
                                </a:lnTo>
                                <a:lnTo>
                                  <a:pt x="6207252" y="6096"/>
                                </a:lnTo>
                                <a:lnTo>
                                  <a:pt x="6207252" y="976884"/>
                                </a:lnTo>
                                <a:lnTo>
                                  <a:pt x="6207252" y="982980"/>
                                </a:lnTo>
                                <a:lnTo>
                                  <a:pt x="6207252" y="8720328"/>
                                </a:lnTo>
                                <a:lnTo>
                                  <a:pt x="6121895" y="8720328"/>
                                </a:lnTo>
                                <a:lnTo>
                                  <a:pt x="6121895" y="8714232"/>
                                </a:lnTo>
                                <a:lnTo>
                                  <a:pt x="6121895" y="1842516"/>
                                </a:lnTo>
                                <a:lnTo>
                                  <a:pt x="6121895" y="1836420"/>
                                </a:lnTo>
                                <a:lnTo>
                                  <a:pt x="6115799" y="1836420"/>
                                </a:lnTo>
                                <a:lnTo>
                                  <a:pt x="6115799" y="1842516"/>
                                </a:lnTo>
                                <a:lnTo>
                                  <a:pt x="6115799" y="8714232"/>
                                </a:lnTo>
                                <a:lnTo>
                                  <a:pt x="79248" y="8714232"/>
                                </a:lnTo>
                                <a:lnTo>
                                  <a:pt x="79248" y="1842516"/>
                                </a:lnTo>
                                <a:lnTo>
                                  <a:pt x="6115799" y="1842516"/>
                                </a:lnTo>
                                <a:lnTo>
                                  <a:pt x="6115799" y="1836420"/>
                                </a:lnTo>
                                <a:lnTo>
                                  <a:pt x="73152" y="1836420"/>
                                </a:lnTo>
                                <a:lnTo>
                                  <a:pt x="73152" y="1842516"/>
                                </a:lnTo>
                                <a:lnTo>
                                  <a:pt x="73152" y="8714232"/>
                                </a:lnTo>
                                <a:lnTo>
                                  <a:pt x="73152" y="8720328"/>
                                </a:lnTo>
                                <a:lnTo>
                                  <a:pt x="6096" y="8720328"/>
                                </a:lnTo>
                                <a:lnTo>
                                  <a:pt x="6096" y="982980"/>
                                </a:lnTo>
                                <a:lnTo>
                                  <a:pt x="6207252" y="982980"/>
                                </a:lnTo>
                                <a:lnTo>
                                  <a:pt x="6207252" y="976884"/>
                                </a:lnTo>
                                <a:lnTo>
                                  <a:pt x="6096" y="976884"/>
                                </a:lnTo>
                                <a:lnTo>
                                  <a:pt x="6096" y="6096"/>
                                </a:lnTo>
                                <a:lnTo>
                                  <a:pt x="6207252" y="6096"/>
                                </a:lnTo>
                                <a:lnTo>
                                  <a:pt x="6207252" y="0"/>
                                </a:lnTo>
                                <a:lnTo>
                                  <a:pt x="0" y="0"/>
                                </a:lnTo>
                                <a:lnTo>
                                  <a:pt x="0" y="6096"/>
                                </a:lnTo>
                                <a:lnTo>
                                  <a:pt x="0" y="976884"/>
                                </a:lnTo>
                                <a:lnTo>
                                  <a:pt x="0" y="982980"/>
                                </a:lnTo>
                                <a:lnTo>
                                  <a:pt x="0" y="8720328"/>
                                </a:lnTo>
                                <a:lnTo>
                                  <a:pt x="0" y="8726424"/>
                                </a:lnTo>
                                <a:lnTo>
                                  <a:pt x="6096" y="8726424"/>
                                </a:lnTo>
                                <a:lnTo>
                                  <a:pt x="6207252" y="8726424"/>
                                </a:lnTo>
                                <a:lnTo>
                                  <a:pt x="6213335" y="8726424"/>
                                </a:lnTo>
                                <a:lnTo>
                                  <a:pt x="6213335" y="8720328"/>
                                </a:lnTo>
                                <a:lnTo>
                                  <a:pt x="6213335" y="982980"/>
                                </a:lnTo>
                                <a:lnTo>
                                  <a:pt x="6213335" y="976884"/>
                                </a:lnTo>
                                <a:lnTo>
                                  <a:pt x="6213335" y="6096"/>
                                </a:lnTo>
                                <a:lnTo>
                                  <a:pt x="62133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BE4A84" id="Group 1" o:spid="_x0000_s1026" style="position:absolute;margin-left:70.8pt;margin-top:70.8pt;width:489.25pt;height:687.15pt;z-index:-15870464;mso-wrap-distance-left:0;mso-wrap-distance-right:0;mso-position-horizontal-relative:page;mso-position-vertical-relative:page" coordsize="62134,8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">
                <v:shape id="Graphic 2" o:spid="_x0000_s1027" style="position:absolute;left:76;top:76;width:62014;height:9696;visibility:visible;mso-wrap-style:square;v-text-anchor:top" coordsize="620141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" path="m6201155,969264l,969264,,,6201155,r,969264xe" fillcolor="#e6e6e6" stroked="f">
                  <v:path arrowok="t"/>
                </v:shape>
                <v:shape id="Graphic 3" o:spid="_x0000_s1028" style="position:absolute;width:62134;height:87268;visibility:visible;mso-wrap-style:square;v-text-anchor:top" coordsize="6213475,872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" path="m6213335,r-6083,l6207252,6096r,970788l6207252,982980r,7737348l6121895,8720328r,-6096l6121895,1842516r,-6096l6115799,1836420r,6096l6115799,8714232r-6036551,l79248,1842516r6036551,l6115799,1836420r-6042647,l73152,1842516r,6871716l73152,8720328r-67056,l6096,982980r6201156,l6207252,976884r-6201156,l6096,6096r6201156,l6207252,,,,,6096,,976884r,6096l,8720328r,6096l6096,8726424r6201156,l6213335,8726424r,-6096l6213335,982980r,-6096l6213335,6096r,-6096xe" fillcolor="black" stroked="f">
                  <v:path arrowok="t"/>
                </v:shape>
                <w10:wrap anchorx="page" anchory="page"/>
              </v:group>
            </w:pict>
          </mc:Fallback>
        </mc:AlternateContent>
      </w:r>
      <w:r>
        <w:t xml:space="preserve">Regulated savings account(s) marketed by </w:t>
      </w:r>
      <w:r>
        <w:rPr>
          <w:color w:val="000000"/>
          <w:highlight w:val="yellow"/>
        </w:rPr>
        <w:t>XXX</w:t>
      </w:r>
      <w:r>
        <w:t xml:space="preserve"> Bank</w:t>
      </w:r>
    </w:p>
    <w:p w14:paraId="00A1AE37" w14:textId="6021895A" w:rsidR="002050D1" w:rsidRDefault="00000000">
      <w:pPr>
        <w:pStyle w:val="Plattetekst"/>
        <w:spacing w:before="23" w:line="259" w:lineRule="auto"/>
        <w:ind w:right="276"/>
      </w:pPr>
      <w:r>
        <w:t xml:space="preserve">[Optional: This web page for clients and non-clients alike is brought to you with a view to increasing transparency for depositors] This web page summarises all relevant information relating to the [maximum of] four different regulated savings formulas offered by </w:t>
      </w:r>
      <w:r>
        <w:rPr>
          <w:color w:val="000000"/>
          <w:highlight w:val="yellow"/>
        </w:rPr>
        <w:t>X Bank</w:t>
      </w:r>
      <w:r>
        <w:rPr>
          <w:color w:val="000000"/>
        </w:rPr>
        <w:t>.[, to be chosen from three categories</w:t>
      </w:r>
      <w:r w:rsidR="00A404DA">
        <w:rPr>
          <w:color w:val="000000"/>
        </w:rPr>
        <w:t>.</w:t>
      </w:r>
      <w:r>
        <w:rPr>
          <w:color w:val="000000"/>
        </w:rPr>
        <w:t>]</w:t>
      </w:r>
    </w:p>
    <w:p w14:paraId="15EEB5B0" w14:textId="77777777" w:rsidR="004D60F9" w:rsidRDefault="004D60F9">
      <w:pPr>
        <w:pStyle w:val="Plattetekst"/>
        <w:spacing w:before="9"/>
        <w:ind w:right="209"/>
        <w:jc w:val="both"/>
      </w:pPr>
    </w:p>
    <w:p w14:paraId="55A51566" w14:textId="3D76E9A8" w:rsidR="002050D1" w:rsidRDefault="00000000">
      <w:pPr>
        <w:pStyle w:val="Plattetekst"/>
        <w:spacing w:before="9"/>
        <w:ind w:right="209"/>
        <w:jc w:val="both"/>
      </w:pPr>
      <w:r>
        <w:t>If money is transferred from a savings account to another savings account opened in the name of the same account holder at the same institution, other than through a standing order, the period during which the loyalty premium was accrued on the first savings account will be maintained, provided that the amount of the transfer is at least €500 and that the account holder concerned has not already made three such transfers from the same savings account during the same calendar year.</w:t>
      </w:r>
    </w:p>
    <w:p w14:paraId="3932C458" w14:textId="5231EE72" w:rsidR="002050D1" w:rsidRDefault="00000000">
      <w:pPr>
        <w:spacing w:before="11"/>
        <w:ind w:left="1064" w:right="1035" w:hanging="478"/>
        <w:jc w:val="both"/>
        <w:rPr>
          <w:b/>
        </w:rPr>
      </w:pPr>
      <w:r>
        <w:rPr>
          <w:b/>
        </w:rPr>
        <w:t xml:space="preserve">I. </w:t>
      </w:r>
      <w:r>
        <w:rPr>
          <w:b/>
          <w:color w:val="000000"/>
          <w:highlight w:val="lightGray"/>
        </w:rPr>
        <w:t>Rate information and terms of regulated savings accounts (the highest</w:t>
      </w:r>
      <w:r w:rsidR="00A404DA">
        <w:rPr>
          <w:b/>
          <w:color w:val="000000"/>
        </w:rPr>
        <w:t xml:space="preserve"> </w:t>
      </w:r>
      <w:r>
        <w:rPr>
          <w:b/>
          <w:color w:val="000000"/>
          <w:highlight w:val="lightGray"/>
        </w:rPr>
        <w:t>return after 12 months appears first).</w:t>
      </w:r>
    </w:p>
    <w:p w14:paraId="6BA3448D" w14:textId="77777777" w:rsidR="002050D1" w:rsidRDefault="00000000">
      <w:pPr>
        <w:ind w:left="343" w:right="358"/>
        <w:jc w:val="both"/>
        <w:rPr>
          <w:b/>
          <w:i/>
        </w:rPr>
      </w:pPr>
      <w:r>
        <w:t xml:space="preserve">The payment always consists of interest at the base rate and a loyalty premium. </w:t>
      </w:r>
      <w:r>
        <w:rPr>
          <w:b/>
          <w:i/>
        </w:rPr>
        <w:t>Note: the sum of the interest at the base rate and the loyalty premium applies today only for an amount that remains in your account for one year and as long as the base rate does not change.</w:t>
      </w:r>
    </w:p>
    <w:p w14:paraId="7189B43B" w14:textId="77777777" w:rsidR="002050D1" w:rsidRDefault="00000000">
      <w:pPr>
        <w:pStyle w:val="Plattetekst"/>
        <w:spacing w:before="267"/>
        <w:ind w:left="343"/>
      </w:pPr>
      <w:r>
        <w:t>Before opening a savings account, read the essential information document for depositors.</w:t>
      </w: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1080"/>
        <w:gridCol w:w="1418"/>
        <w:gridCol w:w="1557"/>
        <w:gridCol w:w="2551"/>
        <w:gridCol w:w="2126"/>
      </w:tblGrid>
      <w:tr w:rsidR="002050D1" w14:paraId="2A1F1F91" w14:textId="77777777">
        <w:trPr>
          <w:trHeight w:val="287"/>
        </w:trPr>
        <w:tc>
          <w:tcPr>
            <w:tcW w:w="521" w:type="dxa"/>
            <w:vMerge w:val="restart"/>
            <w:tcBorders>
              <w:bottom w:val="nil"/>
            </w:tcBorders>
          </w:tcPr>
          <w:p w14:paraId="4AD4218F" w14:textId="77777777" w:rsidR="002050D1" w:rsidRDefault="002050D1">
            <w:pPr>
              <w:pStyle w:val="TableParagraph"/>
            </w:pPr>
          </w:p>
          <w:p w14:paraId="47185AF8" w14:textId="77777777" w:rsidR="002050D1" w:rsidRDefault="002050D1">
            <w:pPr>
              <w:pStyle w:val="TableParagraph"/>
              <w:spacing w:before="182"/>
            </w:pPr>
          </w:p>
          <w:p w14:paraId="0C66A4C7" w14:textId="77777777" w:rsidR="002050D1" w:rsidRDefault="00000000">
            <w:pPr>
              <w:pStyle w:val="TableParagraph"/>
              <w:ind w:left="8"/>
              <w:jc w:val="center"/>
              <w:rPr>
                <w:b/>
              </w:rPr>
            </w:pPr>
            <w:r>
              <w:rPr>
                <w:b/>
              </w:rPr>
              <w:t>1</w:t>
            </w:r>
          </w:p>
        </w:tc>
        <w:tc>
          <w:tcPr>
            <w:tcW w:w="8732" w:type="dxa"/>
            <w:gridSpan w:val="5"/>
          </w:tcPr>
          <w:p w14:paraId="58CC211C" w14:textId="77777777" w:rsidR="002050D1" w:rsidRDefault="00000000">
            <w:pPr>
              <w:pStyle w:val="TableParagraph"/>
              <w:spacing w:before="18" w:line="249" w:lineRule="exact"/>
              <w:ind w:left="4"/>
              <w:jc w:val="center"/>
              <w:rPr>
                <w:b/>
              </w:rPr>
            </w:pPr>
            <w:r>
              <w:rPr>
                <w:b/>
              </w:rPr>
              <w:t>Full official name of savings account</w:t>
            </w:r>
          </w:p>
        </w:tc>
      </w:tr>
      <w:tr w:rsidR="002050D1" w14:paraId="19AC0649" w14:textId="77777777">
        <w:trPr>
          <w:trHeight w:val="537"/>
        </w:trPr>
        <w:tc>
          <w:tcPr>
            <w:tcW w:w="521" w:type="dxa"/>
            <w:vMerge/>
            <w:tcBorders>
              <w:top w:val="nil"/>
              <w:bottom w:val="nil"/>
            </w:tcBorders>
          </w:tcPr>
          <w:p w14:paraId="070AC2D7" w14:textId="77777777" w:rsidR="002050D1" w:rsidRDefault="002050D1">
            <w:pPr>
              <w:rPr>
                <w:sz w:val="2"/>
                <w:szCs w:val="2"/>
              </w:rPr>
            </w:pPr>
          </w:p>
        </w:tc>
        <w:tc>
          <w:tcPr>
            <w:tcW w:w="1080" w:type="dxa"/>
          </w:tcPr>
          <w:p w14:paraId="42E15852" w14:textId="77777777" w:rsidR="002050D1" w:rsidRDefault="00000000">
            <w:pPr>
              <w:pStyle w:val="TableParagraph"/>
              <w:spacing w:before="268" w:line="249" w:lineRule="exact"/>
              <w:ind w:right="118"/>
              <w:jc w:val="right"/>
              <w:rPr>
                <w:b/>
              </w:rPr>
            </w:pPr>
            <w:r>
              <w:rPr>
                <w:b/>
              </w:rPr>
              <w:t>Category</w:t>
            </w:r>
          </w:p>
        </w:tc>
        <w:tc>
          <w:tcPr>
            <w:tcW w:w="1418" w:type="dxa"/>
          </w:tcPr>
          <w:p w14:paraId="5A060DB1" w14:textId="5E590B69" w:rsidR="002050D1" w:rsidRDefault="004D60F9">
            <w:pPr>
              <w:pStyle w:val="TableParagraph"/>
              <w:spacing w:before="1" w:line="267" w:lineRule="exact"/>
              <w:ind w:left="66"/>
              <w:rPr>
                <w:b/>
              </w:rPr>
            </w:pPr>
            <w:r>
              <w:rPr>
                <w:b/>
              </w:rPr>
              <w:t>Base</w:t>
            </w:r>
          </w:p>
          <w:p w14:paraId="35481937" w14:textId="77777777" w:rsidR="002050D1" w:rsidRDefault="00000000">
            <w:pPr>
              <w:pStyle w:val="TableParagraph"/>
              <w:spacing w:line="248" w:lineRule="exact"/>
              <w:ind w:left="66"/>
              <w:rPr>
                <w:b/>
              </w:rPr>
            </w:pPr>
            <w:r>
              <w:rPr>
                <w:b/>
              </w:rPr>
              <w:t>interest rate</w:t>
            </w:r>
          </w:p>
        </w:tc>
        <w:tc>
          <w:tcPr>
            <w:tcW w:w="1557" w:type="dxa"/>
          </w:tcPr>
          <w:p w14:paraId="29FC2B9F" w14:textId="77777777" w:rsidR="002050D1" w:rsidRDefault="00000000">
            <w:pPr>
              <w:pStyle w:val="TableParagraph"/>
              <w:spacing w:before="1" w:line="267" w:lineRule="exact"/>
              <w:ind w:left="67"/>
              <w:rPr>
                <w:b/>
              </w:rPr>
            </w:pPr>
            <w:r>
              <w:rPr>
                <w:b/>
              </w:rPr>
              <w:t>Loyalty</w:t>
            </w:r>
          </w:p>
          <w:p w14:paraId="4A224808" w14:textId="77777777" w:rsidR="002050D1" w:rsidRDefault="00000000">
            <w:pPr>
              <w:pStyle w:val="TableParagraph"/>
              <w:spacing w:line="248" w:lineRule="exact"/>
              <w:ind w:left="67"/>
              <w:rPr>
                <w:b/>
              </w:rPr>
            </w:pPr>
            <w:r>
              <w:rPr>
                <w:b/>
              </w:rPr>
              <w:t>premium</w:t>
            </w:r>
          </w:p>
        </w:tc>
        <w:tc>
          <w:tcPr>
            <w:tcW w:w="2551" w:type="dxa"/>
          </w:tcPr>
          <w:p w14:paraId="20322982" w14:textId="77777777" w:rsidR="002050D1" w:rsidRDefault="00000000">
            <w:pPr>
              <w:pStyle w:val="TableParagraph"/>
              <w:spacing w:before="1" w:line="267" w:lineRule="exact"/>
              <w:ind w:left="70"/>
              <w:rPr>
                <w:b/>
              </w:rPr>
            </w:pPr>
            <w:r>
              <w:rPr>
                <w:b/>
              </w:rPr>
              <w:t>Addition of base rate</w:t>
            </w:r>
          </w:p>
          <w:p w14:paraId="3F6F2875" w14:textId="77777777" w:rsidR="002050D1" w:rsidRDefault="00000000">
            <w:pPr>
              <w:pStyle w:val="TableParagraph"/>
              <w:spacing w:line="248" w:lineRule="exact"/>
              <w:ind w:left="70"/>
              <w:rPr>
                <w:b/>
              </w:rPr>
            </w:pPr>
            <w:r>
              <w:rPr>
                <w:b/>
              </w:rPr>
              <w:t>and loyalty premium</w:t>
            </w:r>
          </w:p>
        </w:tc>
        <w:tc>
          <w:tcPr>
            <w:tcW w:w="2126" w:type="dxa"/>
          </w:tcPr>
          <w:p w14:paraId="266FEE3E" w14:textId="77777777" w:rsidR="002050D1" w:rsidRDefault="00000000">
            <w:pPr>
              <w:pStyle w:val="TableParagraph"/>
              <w:spacing w:before="1" w:line="267" w:lineRule="exact"/>
              <w:ind w:left="70"/>
              <w:rPr>
                <w:b/>
              </w:rPr>
            </w:pPr>
            <w:r>
              <w:rPr>
                <w:b/>
              </w:rPr>
              <w:t>Applicable</w:t>
            </w:r>
          </w:p>
          <w:p w14:paraId="2F137CEB" w14:textId="77777777" w:rsidR="002050D1" w:rsidRDefault="00000000">
            <w:pPr>
              <w:pStyle w:val="TableParagraph"/>
              <w:spacing w:line="248" w:lineRule="exact"/>
              <w:ind w:left="70"/>
              <w:rPr>
                <w:b/>
              </w:rPr>
            </w:pPr>
            <w:r>
              <w:rPr>
                <w:b/>
              </w:rPr>
              <w:t>conditions</w:t>
            </w:r>
          </w:p>
        </w:tc>
      </w:tr>
      <w:tr w:rsidR="002050D1" w14:paraId="7D8335AA" w14:textId="77777777">
        <w:trPr>
          <w:trHeight w:val="578"/>
        </w:trPr>
        <w:tc>
          <w:tcPr>
            <w:tcW w:w="521" w:type="dxa"/>
            <w:vMerge/>
            <w:tcBorders>
              <w:top w:val="nil"/>
              <w:bottom w:val="nil"/>
            </w:tcBorders>
          </w:tcPr>
          <w:p w14:paraId="7779D9DC" w14:textId="77777777" w:rsidR="002050D1" w:rsidRDefault="002050D1">
            <w:pPr>
              <w:rPr>
                <w:sz w:val="2"/>
                <w:szCs w:val="2"/>
              </w:rPr>
            </w:pPr>
          </w:p>
        </w:tc>
        <w:tc>
          <w:tcPr>
            <w:tcW w:w="1080" w:type="dxa"/>
          </w:tcPr>
          <w:p w14:paraId="18A7C7BB" w14:textId="77777777" w:rsidR="002050D1" w:rsidRDefault="00000000">
            <w:pPr>
              <w:pStyle w:val="TableParagraph"/>
              <w:spacing w:before="155"/>
              <w:ind w:right="161"/>
              <w:jc w:val="right"/>
            </w:pPr>
            <w:r>
              <w:t>A / B / C</w:t>
            </w:r>
          </w:p>
        </w:tc>
        <w:tc>
          <w:tcPr>
            <w:tcW w:w="1418" w:type="dxa"/>
          </w:tcPr>
          <w:p w14:paraId="77A61FAE" w14:textId="77777777" w:rsidR="002050D1" w:rsidRDefault="00000000">
            <w:pPr>
              <w:pStyle w:val="TableParagraph"/>
              <w:spacing w:before="20"/>
              <w:ind w:left="318" w:hanging="149"/>
            </w:pPr>
            <w:r>
              <w:t>X% on an annual basis</w:t>
            </w:r>
          </w:p>
        </w:tc>
        <w:tc>
          <w:tcPr>
            <w:tcW w:w="1557" w:type="dxa"/>
          </w:tcPr>
          <w:p w14:paraId="3B1A52BE" w14:textId="77777777" w:rsidR="002050D1" w:rsidRDefault="00000000">
            <w:pPr>
              <w:pStyle w:val="TableParagraph"/>
              <w:spacing w:before="20"/>
              <w:ind w:left="388" w:hanging="147"/>
            </w:pPr>
            <w:r>
              <w:t>X% on an annual basis</w:t>
            </w:r>
          </w:p>
        </w:tc>
        <w:tc>
          <w:tcPr>
            <w:tcW w:w="2551" w:type="dxa"/>
          </w:tcPr>
          <w:p w14:paraId="7BE518AA" w14:textId="77777777" w:rsidR="002050D1" w:rsidRDefault="00000000">
            <w:pPr>
              <w:pStyle w:val="TableParagraph"/>
              <w:spacing w:before="155"/>
              <w:ind w:left="12"/>
              <w:jc w:val="center"/>
            </w:pPr>
            <w:r>
              <w:t>X% on an annual basis</w:t>
            </w:r>
          </w:p>
        </w:tc>
        <w:tc>
          <w:tcPr>
            <w:tcW w:w="2126" w:type="dxa"/>
          </w:tcPr>
          <w:p w14:paraId="1EF02334" w14:textId="77777777" w:rsidR="002050D1" w:rsidRDefault="00000000">
            <w:pPr>
              <w:pStyle w:val="TableParagraph"/>
              <w:spacing w:before="155"/>
              <w:ind w:left="71"/>
            </w:pPr>
            <w:r>
              <w:t>TBC</w:t>
            </w:r>
          </w:p>
        </w:tc>
      </w:tr>
      <w:tr w:rsidR="002050D1" w14:paraId="3D1FB6FD" w14:textId="77777777">
        <w:trPr>
          <w:trHeight w:val="275"/>
        </w:trPr>
        <w:tc>
          <w:tcPr>
            <w:tcW w:w="521" w:type="dxa"/>
            <w:vMerge/>
            <w:tcBorders>
              <w:top w:val="nil"/>
              <w:bottom w:val="nil"/>
            </w:tcBorders>
          </w:tcPr>
          <w:p w14:paraId="2DAEA84E" w14:textId="77777777" w:rsidR="002050D1" w:rsidRDefault="002050D1">
            <w:pPr>
              <w:rPr>
                <w:sz w:val="2"/>
                <w:szCs w:val="2"/>
              </w:rPr>
            </w:pPr>
          </w:p>
        </w:tc>
        <w:tc>
          <w:tcPr>
            <w:tcW w:w="8732" w:type="dxa"/>
            <w:gridSpan w:val="5"/>
            <w:tcBorders>
              <w:bottom w:val="nil"/>
            </w:tcBorders>
          </w:tcPr>
          <w:p w14:paraId="207B8165" w14:textId="4703A519" w:rsidR="002050D1" w:rsidRDefault="00000000">
            <w:pPr>
              <w:pStyle w:val="TableParagraph"/>
              <w:spacing w:before="6" w:line="249" w:lineRule="exact"/>
              <w:ind w:left="4" w:right="1"/>
              <w:jc w:val="center"/>
              <w:rPr>
                <w:i/>
              </w:rPr>
            </w:pPr>
            <w:r>
              <w:rPr>
                <w:i/>
              </w:rPr>
              <w:t xml:space="preserve">Link to </w:t>
            </w:r>
            <w:r w:rsidR="004D60F9">
              <w:rPr>
                <w:i/>
              </w:rPr>
              <w:t xml:space="preserve">the </w:t>
            </w:r>
            <w:r>
              <w:rPr>
                <w:i/>
              </w:rPr>
              <w:t>essential information document for depositors</w:t>
            </w:r>
          </w:p>
        </w:tc>
      </w:tr>
      <w:tr w:rsidR="002050D1" w14:paraId="371B110F" w14:textId="77777777">
        <w:trPr>
          <w:trHeight w:val="288"/>
        </w:trPr>
        <w:tc>
          <w:tcPr>
            <w:tcW w:w="9253" w:type="dxa"/>
            <w:gridSpan w:val="6"/>
            <w:tcBorders>
              <w:top w:val="nil"/>
              <w:bottom w:val="nil"/>
            </w:tcBorders>
            <w:shd w:val="clear" w:color="auto" w:fill="000000"/>
          </w:tcPr>
          <w:p w14:paraId="04BBE3B4" w14:textId="77777777" w:rsidR="002050D1" w:rsidRDefault="002050D1">
            <w:pPr>
              <w:pStyle w:val="TableParagraph"/>
              <w:rPr>
                <w:rFonts w:ascii="Times New Roman"/>
                <w:sz w:val="20"/>
              </w:rPr>
            </w:pPr>
          </w:p>
        </w:tc>
      </w:tr>
      <w:tr w:rsidR="002050D1" w14:paraId="12739804" w14:textId="77777777">
        <w:trPr>
          <w:trHeight w:val="287"/>
        </w:trPr>
        <w:tc>
          <w:tcPr>
            <w:tcW w:w="521" w:type="dxa"/>
            <w:vMerge w:val="restart"/>
            <w:tcBorders>
              <w:top w:val="nil"/>
              <w:bottom w:val="nil"/>
            </w:tcBorders>
          </w:tcPr>
          <w:p w14:paraId="246A4DC8" w14:textId="77777777" w:rsidR="002050D1" w:rsidRDefault="002050D1">
            <w:pPr>
              <w:pStyle w:val="TableParagraph"/>
            </w:pPr>
          </w:p>
          <w:p w14:paraId="1D36C9A0" w14:textId="77777777" w:rsidR="002050D1" w:rsidRDefault="002050D1">
            <w:pPr>
              <w:pStyle w:val="TableParagraph"/>
              <w:spacing w:before="163"/>
            </w:pPr>
          </w:p>
          <w:p w14:paraId="59E1BC0A" w14:textId="77777777" w:rsidR="002050D1" w:rsidRDefault="00000000">
            <w:pPr>
              <w:pStyle w:val="TableParagraph"/>
              <w:ind w:left="8"/>
              <w:jc w:val="center"/>
              <w:rPr>
                <w:b/>
              </w:rPr>
            </w:pPr>
            <w:r>
              <w:rPr>
                <w:b/>
              </w:rPr>
              <w:t>2</w:t>
            </w:r>
          </w:p>
        </w:tc>
        <w:tc>
          <w:tcPr>
            <w:tcW w:w="8732" w:type="dxa"/>
            <w:gridSpan w:val="5"/>
            <w:tcBorders>
              <w:top w:val="nil"/>
            </w:tcBorders>
          </w:tcPr>
          <w:p w14:paraId="43F7BF52" w14:textId="77777777" w:rsidR="002050D1" w:rsidRDefault="00000000">
            <w:pPr>
              <w:pStyle w:val="TableParagraph"/>
              <w:spacing w:before="18" w:line="249" w:lineRule="exact"/>
              <w:ind w:left="4"/>
              <w:jc w:val="center"/>
              <w:rPr>
                <w:b/>
              </w:rPr>
            </w:pPr>
            <w:r>
              <w:rPr>
                <w:b/>
              </w:rPr>
              <w:t>Full official name of savings account</w:t>
            </w:r>
          </w:p>
        </w:tc>
      </w:tr>
      <w:tr w:rsidR="002050D1" w14:paraId="07DBC307" w14:textId="77777777">
        <w:trPr>
          <w:trHeight w:val="537"/>
        </w:trPr>
        <w:tc>
          <w:tcPr>
            <w:tcW w:w="521" w:type="dxa"/>
            <w:vMerge/>
            <w:tcBorders>
              <w:top w:val="nil"/>
              <w:bottom w:val="nil"/>
            </w:tcBorders>
          </w:tcPr>
          <w:p w14:paraId="779B8227" w14:textId="77777777" w:rsidR="002050D1" w:rsidRDefault="002050D1">
            <w:pPr>
              <w:rPr>
                <w:sz w:val="2"/>
                <w:szCs w:val="2"/>
              </w:rPr>
            </w:pPr>
          </w:p>
        </w:tc>
        <w:tc>
          <w:tcPr>
            <w:tcW w:w="1080" w:type="dxa"/>
          </w:tcPr>
          <w:p w14:paraId="23DD14EB" w14:textId="77777777" w:rsidR="002050D1" w:rsidRDefault="00000000">
            <w:pPr>
              <w:pStyle w:val="TableParagraph"/>
              <w:spacing w:before="268" w:line="249" w:lineRule="exact"/>
              <w:ind w:right="118"/>
              <w:jc w:val="right"/>
              <w:rPr>
                <w:b/>
              </w:rPr>
            </w:pPr>
            <w:r>
              <w:rPr>
                <w:b/>
              </w:rPr>
              <w:t>Category</w:t>
            </w:r>
          </w:p>
        </w:tc>
        <w:tc>
          <w:tcPr>
            <w:tcW w:w="1418" w:type="dxa"/>
          </w:tcPr>
          <w:p w14:paraId="737853DC" w14:textId="3AA1235D" w:rsidR="002050D1" w:rsidRDefault="004D60F9">
            <w:pPr>
              <w:pStyle w:val="TableParagraph"/>
              <w:spacing w:line="268" w:lineRule="exact"/>
              <w:ind w:left="66"/>
              <w:rPr>
                <w:b/>
              </w:rPr>
            </w:pPr>
            <w:r>
              <w:rPr>
                <w:b/>
              </w:rPr>
              <w:t>Base</w:t>
            </w:r>
          </w:p>
          <w:p w14:paraId="6A360C9D" w14:textId="77777777" w:rsidR="002050D1" w:rsidRDefault="00000000">
            <w:pPr>
              <w:pStyle w:val="TableParagraph"/>
              <w:spacing w:line="249" w:lineRule="exact"/>
              <w:ind w:left="66"/>
              <w:rPr>
                <w:b/>
              </w:rPr>
            </w:pPr>
            <w:r>
              <w:rPr>
                <w:b/>
              </w:rPr>
              <w:t>interest rate</w:t>
            </w:r>
          </w:p>
        </w:tc>
        <w:tc>
          <w:tcPr>
            <w:tcW w:w="1557" w:type="dxa"/>
          </w:tcPr>
          <w:p w14:paraId="368EE03E" w14:textId="77777777" w:rsidR="002050D1" w:rsidRDefault="00000000">
            <w:pPr>
              <w:pStyle w:val="TableParagraph"/>
              <w:spacing w:line="268" w:lineRule="exact"/>
              <w:ind w:left="67"/>
              <w:rPr>
                <w:b/>
              </w:rPr>
            </w:pPr>
            <w:r>
              <w:rPr>
                <w:b/>
              </w:rPr>
              <w:t>Loyalty</w:t>
            </w:r>
          </w:p>
          <w:p w14:paraId="223D7202" w14:textId="77777777" w:rsidR="002050D1" w:rsidRDefault="00000000">
            <w:pPr>
              <w:pStyle w:val="TableParagraph"/>
              <w:spacing w:line="249" w:lineRule="exact"/>
              <w:ind w:left="67"/>
              <w:rPr>
                <w:b/>
              </w:rPr>
            </w:pPr>
            <w:r>
              <w:rPr>
                <w:b/>
              </w:rPr>
              <w:t>premium</w:t>
            </w:r>
          </w:p>
        </w:tc>
        <w:tc>
          <w:tcPr>
            <w:tcW w:w="2551" w:type="dxa"/>
          </w:tcPr>
          <w:p w14:paraId="2A4B7525" w14:textId="77777777" w:rsidR="002050D1" w:rsidRDefault="00000000">
            <w:pPr>
              <w:pStyle w:val="TableParagraph"/>
              <w:spacing w:line="268" w:lineRule="exact"/>
              <w:ind w:left="70"/>
              <w:rPr>
                <w:b/>
              </w:rPr>
            </w:pPr>
            <w:r>
              <w:rPr>
                <w:b/>
              </w:rPr>
              <w:t>Addition of base rate</w:t>
            </w:r>
          </w:p>
          <w:p w14:paraId="2BD9CBAF" w14:textId="77777777" w:rsidR="002050D1" w:rsidRDefault="00000000">
            <w:pPr>
              <w:pStyle w:val="TableParagraph"/>
              <w:spacing w:line="249" w:lineRule="exact"/>
              <w:ind w:left="70"/>
              <w:rPr>
                <w:b/>
              </w:rPr>
            </w:pPr>
            <w:r>
              <w:rPr>
                <w:b/>
              </w:rPr>
              <w:t>and loyalty premium</w:t>
            </w:r>
          </w:p>
        </w:tc>
        <w:tc>
          <w:tcPr>
            <w:tcW w:w="2126" w:type="dxa"/>
          </w:tcPr>
          <w:p w14:paraId="5D67B7BD" w14:textId="77777777" w:rsidR="002050D1" w:rsidRDefault="00000000">
            <w:pPr>
              <w:pStyle w:val="TableParagraph"/>
              <w:spacing w:line="268" w:lineRule="exact"/>
              <w:ind w:left="70"/>
              <w:rPr>
                <w:b/>
              </w:rPr>
            </w:pPr>
            <w:r>
              <w:rPr>
                <w:b/>
              </w:rPr>
              <w:t>Applicable</w:t>
            </w:r>
          </w:p>
          <w:p w14:paraId="6F00AC38" w14:textId="77777777" w:rsidR="002050D1" w:rsidRDefault="00000000">
            <w:pPr>
              <w:pStyle w:val="TableParagraph"/>
              <w:spacing w:line="249" w:lineRule="exact"/>
              <w:ind w:left="70"/>
              <w:rPr>
                <w:b/>
              </w:rPr>
            </w:pPr>
            <w:r>
              <w:rPr>
                <w:b/>
              </w:rPr>
              <w:t>conditions</w:t>
            </w:r>
          </w:p>
        </w:tc>
      </w:tr>
      <w:tr w:rsidR="002050D1" w14:paraId="34E64B86" w14:textId="77777777">
        <w:trPr>
          <w:trHeight w:val="537"/>
        </w:trPr>
        <w:tc>
          <w:tcPr>
            <w:tcW w:w="521" w:type="dxa"/>
            <w:vMerge/>
            <w:tcBorders>
              <w:top w:val="nil"/>
              <w:bottom w:val="nil"/>
            </w:tcBorders>
          </w:tcPr>
          <w:p w14:paraId="14D59F90" w14:textId="77777777" w:rsidR="002050D1" w:rsidRDefault="002050D1">
            <w:pPr>
              <w:rPr>
                <w:sz w:val="2"/>
                <w:szCs w:val="2"/>
              </w:rPr>
            </w:pPr>
          </w:p>
        </w:tc>
        <w:tc>
          <w:tcPr>
            <w:tcW w:w="1080" w:type="dxa"/>
          </w:tcPr>
          <w:p w14:paraId="62571DBE" w14:textId="77777777" w:rsidR="002050D1" w:rsidRDefault="00000000">
            <w:pPr>
              <w:pStyle w:val="TableParagraph"/>
              <w:spacing w:before="133"/>
              <w:ind w:right="161"/>
              <w:jc w:val="right"/>
            </w:pPr>
            <w:r>
              <w:t>A / B / C</w:t>
            </w:r>
          </w:p>
        </w:tc>
        <w:tc>
          <w:tcPr>
            <w:tcW w:w="1418" w:type="dxa"/>
          </w:tcPr>
          <w:p w14:paraId="431CF856" w14:textId="77777777" w:rsidR="002050D1" w:rsidRDefault="00000000">
            <w:pPr>
              <w:pStyle w:val="TableParagraph"/>
              <w:spacing w:line="268" w:lineRule="exact"/>
              <w:ind w:left="1" w:right="1"/>
              <w:jc w:val="center"/>
            </w:pPr>
            <w:r>
              <w:t>X% on an</w:t>
            </w:r>
          </w:p>
          <w:p w14:paraId="496FCDD0" w14:textId="77777777" w:rsidR="002050D1" w:rsidRDefault="00000000">
            <w:pPr>
              <w:pStyle w:val="TableParagraph"/>
              <w:spacing w:line="249" w:lineRule="exact"/>
              <w:ind w:left="1"/>
              <w:jc w:val="center"/>
            </w:pPr>
            <w:r>
              <w:t>annual basis</w:t>
            </w:r>
          </w:p>
        </w:tc>
        <w:tc>
          <w:tcPr>
            <w:tcW w:w="1557" w:type="dxa"/>
          </w:tcPr>
          <w:p w14:paraId="613784D8" w14:textId="77777777" w:rsidR="002050D1" w:rsidRDefault="00000000">
            <w:pPr>
              <w:pStyle w:val="TableParagraph"/>
              <w:spacing w:line="268" w:lineRule="exact"/>
              <w:ind w:left="5"/>
              <w:jc w:val="center"/>
            </w:pPr>
            <w:r>
              <w:t>X% on an</w:t>
            </w:r>
          </w:p>
          <w:p w14:paraId="29F03BF8" w14:textId="77777777" w:rsidR="002050D1" w:rsidRDefault="00000000">
            <w:pPr>
              <w:pStyle w:val="TableParagraph"/>
              <w:spacing w:line="249" w:lineRule="exact"/>
              <w:ind w:left="5" w:right="3"/>
              <w:jc w:val="center"/>
            </w:pPr>
            <w:r>
              <w:t>annual basis</w:t>
            </w:r>
          </w:p>
        </w:tc>
        <w:tc>
          <w:tcPr>
            <w:tcW w:w="2551" w:type="dxa"/>
          </w:tcPr>
          <w:p w14:paraId="00396959" w14:textId="77777777" w:rsidR="002050D1" w:rsidRDefault="00000000">
            <w:pPr>
              <w:pStyle w:val="TableParagraph"/>
              <w:spacing w:before="133"/>
              <w:ind w:left="12"/>
              <w:jc w:val="center"/>
            </w:pPr>
            <w:r>
              <w:t>X% on an annual basis</w:t>
            </w:r>
          </w:p>
        </w:tc>
        <w:tc>
          <w:tcPr>
            <w:tcW w:w="2126" w:type="dxa"/>
          </w:tcPr>
          <w:p w14:paraId="358B1D0D" w14:textId="77777777" w:rsidR="002050D1" w:rsidRDefault="00000000">
            <w:pPr>
              <w:pStyle w:val="TableParagraph"/>
              <w:spacing w:before="133"/>
              <w:ind w:left="71"/>
            </w:pPr>
            <w:r>
              <w:t>TBC</w:t>
            </w:r>
          </w:p>
        </w:tc>
      </w:tr>
      <w:tr w:rsidR="002050D1" w14:paraId="1212D741" w14:textId="77777777">
        <w:trPr>
          <w:trHeight w:val="278"/>
        </w:trPr>
        <w:tc>
          <w:tcPr>
            <w:tcW w:w="521" w:type="dxa"/>
            <w:vMerge/>
            <w:tcBorders>
              <w:top w:val="nil"/>
              <w:bottom w:val="nil"/>
            </w:tcBorders>
          </w:tcPr>
          <w:p w14:paraId="01EC26B4" w14:textId="77777777" w:rsidR="002050D1" w:rsidRDefault="002050D1">
            <w:pPr>
              <w:rPr>
                <w:sz w:val="2"/>
                <w:szCs w:val="2"/>
              </w:rPr>
            </w:pPr>
          </w:p>
        </w:tc>
        <w:tc>
          <w:tcPr>
            <w:tcW w:w="8732" w:type="dxa"/>
            <w:gridSpan w:val="5"/>
            <w:tcBorders>
              <w:bottom w:val="nil"/>
            </w:tcBorders>
          </w:tcPr>
          <w:p w14:paraId="5B9584C1" w14:textId="461EC16A" w:rsidR="002050D1" w:rsidRDefault="00000000">
            <w:pPr>
              <w:pStyle w:val="TableParagraph"/>
              <w:spacing w:before="8" w:line="249" w:lineRule="exact"/>
              <w:ind w:left="4" w:right="1"/>
              <w:jc w:val="center"/>
              <w:rPr>
                <w:i/>
              </w:rPr>
            </w:pPr>
            <w:r>
              <w:rPr>
                <w:i/>
              </w:rPr>
              <w:t xml:space="preserve">Link to </w:t>
            </w:r>
            <w:r w:rsidR="004D60F9">
              <w:rPr>
                <w:i/>
              </w:rPr>
              <w:t xml:space="preserve">the </w:t>
            </w:r>
            <w:r>
              <w:rPr>
                <w:i/>
              </w:rPr>
              <w:t>essential information document for depositors</w:t>
            </w:r>
          </w:p>
        </w:tc>
      </w:tr>
      <w:tr w:rsidR="002050D1" w14:paraId="4BDBE4FF" w14:textId="77777777">
        <w:trPr>
          <w:trHeight w:val="288"/>
        </w:trPr>
        <w:tc>
          <w:tcPr>
            <w:tcW w:w="9253" w:type="dxa"/>
            <w:gridSpan w:val="6"/>
            <w:tcBorders>
              <w:top w:val="nil"/>
              <w:bottom w:val="nil"/>
            </w:tcBorders>
            <w:shd w:val="clear" w:color="auto" w:fill="000000"/>
          </w:tcPr>
          <w:p w14:paraId="77D89BBF" w14:textId="77777777" w:rsidR="002050D1" w:rsidRDefault="002050D1">
            <w:pPr>
              <w:pStyle w:val="TableParagraph"/>
              <w:rPr>
                <w:rFonts w:ascii="Times New Roman"/>
                <w:sz w:val="20"/>
              </w:rPr>
            </w:pPr>
          </w:p>
        </w:tc>
      </w:tr>
      <w:tr w:rsidR="002050D1" w14:paraId="70501E24" w14:textId="77777777">
        <w:trPr>
          <w:trHeight w:val="287"/>
        </w:trPr>
        <w:tc>
          <w:tcPr>
            <w:tcW w:w="521" w:type="dxa"/>
            <w:vMerge w:val="restart"/>
            <w:tcBorders>
              <w:top w:val="nil"/>
              <w:bottom w:val="nil"/>
            </w:tcBorders>
          </w:tcPr>
          <w:p w14:paraId="4DECF928" w14:textId="77777777" w:rsidR="002050D1" w:rsidRDefault="002050D1">
            <w:pPr>
              <w:pStyle w:val="TableParagraph"/>
            </w:pPr>
          </w:p>
          <w:p w14:paraId="171F4A4D" w14:textId="77777777" w:rsidR="002050D1" w:rsidRDefault="002050D1">
            <w:pPr>
              <w:pStyle w:val="TableParagraph"/>
              <w:spacing w:before="160"/>
            </w:pPr>
          </w:p>
          <w:p w14:paraId="26722C7D" w14:textId="77777777" w:rsidR="002050D1" w:rsidRDefault="00000000">
            <w:pPr>
              <w:pStyle w:val="TableParagraph"/>
              <w:ind w:left="8"/>
              <w:jc w:val="center"/>
              <w:rPr>
                <w:b/>
              </w:rPr>
            </w:pPr>
            <w:r>
              <w:rPr>
                <w:b/>
              </w:rPr>
              <w:t>3</w:t>
            </w:r>
          </w:p>
        </w:tc>
        <w:tc>
          <w:tcPr>
            <w:tcW w:w="8732" w:type="dxa"/>
            <w:gridSpan w:val="5"/>
            <w:tcBorders>
              <w:top w:val="nil"/>
            </w:tcBorders>
          </w:tcPr>
          <w:p w14:paraId="052179F3" w14:textId="77777777" w:rsidR="002050D1" w:rsidRDefault="00000000">
            <w:pPr>
              <w:pStyle w:val="TableParagraph"/>
              <w:spacing w:before="18" w:line="249" w:lineRule="exact"/>
              <w:ind w:left="4"/>
              <w:jc w:val="center"/>
              <w:rPr>
                <w:b/>
              </w:rPr>
            </w:pPr>
            <w:r>
              <w:rPr>
                <w:b/>
              </w:rPr>
              <w:t>Full official name of savings account</w:t>
            </w:r>
          </w:p>
        </w:tc>
      </w:tr>
      <w:tr w:rsidR="002050D1" w14:paraId="06BDAD6D" w14:textId="77777777">
        <w:trPr>
          <w:trHeight w:val="537"/>
        </w:trPr>
        <w:tc>
          <w:tcPr>
            <w:tcW w:w="521" w:type="dxa"/>
            <w:vMerge/>
            <w:tcBorders>
              <w:top w:val="nil"/>
              <w:bottom w:val="nil"/>
            </w:tcBorders>
          </w:tcPr>
          <w:p w14:paraId="4CA13421" w14:textId="77777777" w:rsidR="002050D1" w:rsidRDefault="002050D1">
            <w:pPr>
              <w:rPr>
                <w:sz w:val="2"/>
                <w:szCs w:val="2"/>
              </w:rPr>
            </w:pPr>
          </w:p>
        </w:tc>
        <w:tc>
          <w:tcPr>
            <w:tcW w:w="1080" w:type="dxa"/>
          </w:tcPr>
          <w:p w14:paraId="5F59A2F0" w14:textId="77777777" w:rsidR="002050D1" w:rsidRDefault="00000000">
            <w:pPr>
              <w:pStyle w:val="TableParagraph"/>
              <w:spacing w:before="268" w:line="249" w:lineRule="exact"/>
              <w:ind w:right="118"/>
              <w:jc w:val="right"/>
              <w:rPr>
                <w:b/>
              </w:rPr>
            </w:pPr>
            <w:r>
              <w:rPr>
                <w:b/>
              </w:rPr>
              <w:t>Category</w:t>
            </w:r>
          </w:p>
        </w:tc>
        <w:tc>
          <w:tcPr>
            <w:tcW w:w="1418" w:type="dxa"/>
          </w:tcPr>
          <w:p w14:paraId="0CCCBFEF" w14:textId="091CF6CB" w:rsidR="002050D1" w:rsidRDefault="004D60F9">
            <w:pPr>
              <w:pStyle w:val="TableParagraph"/>
              <w:spacing w:line="268" w:lineRule="exact"/>
              <w:ind w:left="66"/>
              <w:rPr>
                <w:b/>
              </w:rPr>
            </w:pPr>
            <w:r>
              <w:rPr>
                <w:b/>
              </w:rPr>
              <w:t>Base</w:t>
            </w:r>
          </w:p>
          <w:p w14:paraId="25EBF923" w14:textId="77777777" w:rsidR="002050D1" w:rsidRDefault="00000000">
            <w:pPr>
              <w:pStyle w:val="TableParagraph"/>
              <w:spacing w:line="249" w:lineRule="exact"/>
              <w:ind w:left="66"/>
              <w:rPr>
                <w:b/>
              </w:rPr>
            </w:pPr>
            <w:r>
              <w:rPr>
                <w:b/>
              </w:rPr>
              <w:t>interest rate</w:t>
            </w:r>
          </w:p>
        </w:tc>
        <w:tc>
          <w:tcPr>
            <w:tcW w:w="1557" w:type="dxa"/>
          </w:tcPr>
          <w:p w14:paraId="68C167DD" w14:textId="77777777" w:rsidR="002050D1" w:rsidRDefault="00000000">
            <w:pPr>
              <w:pStyle w:val="TableParagraph"/>
              <w:spacing w:line="268" w:lineRule="exact"/>
              <w:ind w:left="67"/>
              <w:rPr>
                <w:b/>
              </w:rPr>
            </w:pPr>
            <w:r>
              <w:rPr>
                <w:b/>
              </w:rPr>
              <w:t>Loyalty</w:t>
            </w:r>
          </w:p>
          <w:p w14:paraId="5EBA734F" w14:textId="77777777" w:rsidR="002050D1" w:rsidRDefault="00000000">
            <w:pPr>
              <w:pStyle w:val="TableParagraph"/>
              <w:spacing w:line="249" w:lineRule="exact"/>
              <w:ind w:left="67"/>
              <w:rPr>
                <w:b/>
              </w:rPr>
            </w:pPr>
            <w:r>
              <w:rPr>
                <w:b/>
              </w:rPr>
              <w:t>premium</w:t>
            </w:r>
          </w:p>
        </w:tc>
        <w:tc>
          <w:tcPr>
            <w:tcW w:w="2551" w:type="dxa"/>
          </w:tcPr>
          <w:p w14:paraId="31E6785D" w14:textId="77777777" w:rsidR="002050D1" w:rsidRDefault="00000000">
            <w:pPr>
              <w:pStyle w:val="TableParagraph"/>
              <w:spacing w:line="268" w:lineRule="exact"/>
              <w:ind w:left="70"/>
              <w:rPr>
                <w:b/>
              </w:rPr>
            </w:pPr>
            <w:r>
              <w:rPr>
                <w:b/>
              </w:rPr>
              <w:t>Addition of base rate</w:t>
            </w:r>
          </w:p>
          <w:p w14:paraId="71A45961" w14:textId="77777777" w:rsidR="002050D1" w:rsidRDefault="00000000">
            <w:pPr>
              <w:pStyle w:val="TableParagraph"/>
              <w:spacing w:line="249" w:lineRule="exact"/>
              <w:ind w:left="70"/>
              <w:rPr>
                <w:b/>
              </w:rPr>
            </w:pPr>
            <w:r>
              <w:rPr>
                <w:b/>
              </w:rPr>
              <w:t>and loyalty premium</w:t>
            </w:r>
          </w:p>
        </w:tc>
        <w:tc>
          <w:tcPr>
            <w:tcW w:w="2126" w:type="dxa"/>
          </w:tcPr>
          <w:p w14:paraId="4905D706" w14:textId="77777777" w:rsidR="002050D1" w:rsidRDefault="00000000">
            <w:pPr>
              <w:pStyle w:val="TableParagraph"/>
              <w:spacing w:line="268" w:lineRule="exact"/>
              <w:ind w:left="70"/>
              <w:rPr>
                <w:b/>
              </w:rPr>
            </w:pPr>
            <w:r>
              <w:rPr>
                <w:b/>
              </w:rPr>
              <w:t>Applicable</w:t>
            </w:r>
          </w:p>
          <w:p w14:paraId="0016D388" w14:textId="77777777" w:rsidR="002050D1" w:rsidRDefault="00000000">
            <w:pPr>
              <w:pStyle w:val="TableParagraph"/>
              <w:spacing w:line="249" w:lineRule="exact"/>
              <w:ind w:left="70"/>
              <w:rPr>
                <w:b/>
              </w:rPr>
            </w:pPr>
            <w:r>
              <w:rPr>
                <w:b/>
              </w:rPr>
              <w:t>conditions</w:t>
            </w:r>
          </w:p>
        </w:tc>
      </w:tr>
      <w:tr w:rsidR="002050D1" w14:paraId="16F5C579" w14:textId="77777777">
        <w:trPr>
          <w:trHeight w:val="537"/>
        </w:trPr>
        <w:tc>
          <w:tcPr>
            <w:tcW w:w="521" w:type="dxa"/>
            <w:vMerge/>
            <w:tcBorders>
              <w:top w:val="nil"/>
              <w:bottom w:val="nil"/>
            </w:tcBorders>
          </w:tcPr>
          <w:p w14:paraId="35B2D7BC" w14:textId="77777777" w:rsidR="002050D1" w:rsidRDefault="002050D1">
            <w:pPr>
              <w:rPr>
                <w:sz w:val="2"/>
                <w:szCs w:val="2"/>
              </w:rPr>
            </w:pPr>
          </w:p>
        </w:tc>
        <w:tc>
          <w:tcPr>
            <w:tcW w:w="1080" w:type="dxa"/>
          </w:tcPr>
          <w:p w14:paraId="290B2414" w14:textId="77777777" w:rsidR="002050D1" w:rsidRDefault="00000000">
            <w:pPr>
              <w:pStyle w:val="TableParagraph"/>
              <w:spacing w:before="133"/>
              <w:ind w:right="161"/>
              <w:jc w:val="right"/>
            </w:pPr>
            <w:r>
              <w:t>A / B / C</w:t>
            </w:r>
          </w:p>
        </w:tc>
        <w:tc>
          <w:tcPr>
            <w:tcW w:w="1418" w:type="dxa"/>
          </w:tcPr>
          <w:p w14:paraId="2B73E04B" w14:textId="77777777" w:rsidR="002050D1" w:rsidRDefault="00000000">
            <w:pPr>
              <w:pStyle w:val="TableParagraph"/>
              <w:spacing w:line="268" w:lineRule="exact"/>
              <w:ind w:left="1" w:right="1"/>
              <w:jc w:val="center"/>
            </w:pPr>
            <w:r>
              <w:t>X% on an</w:t>
            </w:r>
          </w:p>
          <w:p w14:paraId="17706C99" w14:textId="77777777" w:rsidR="002050D1" w:rsidRDefault="00000000">
            <w:pPr>
              <w:pStyle w:val="TableParagraph"/>
              <w:spacing w:line="249" w:lineRule="exact"/>
              <w:ind w:left="1"/>
              <w:jc w:val="center"/>
            </w:pPr>
            <w:r>
              <w:t>annual basis</w:t>
            </w:r>
          </w:p>
        </w:tc>
        <w:tc>
          <w:tcPr>
            <w:tcW w:w="1557" w:type="dxa"/>
          </w:tcPr>
          <w:p w14:paraId="4F02EAC5" w14:textId="77777777" w:rsidR="002050D1" w:rsidRDefault="00000000">
            <w:pPr>
              <w:pStyle w:val="TableParagraph"/>
              <w:spacing w:line="268" w:lineRule="exact"/>
              <w:ind w:left="5"/>
              <w:jc w:val="center"/>
            </w:pPr>
            <w:r>
              <w:t>X% on an</w:t>
            </w:r>
          </w:p>
          <w:p w14:paraId="3DF56274" w14:textId="77777777" w:rsidR="002050D1" w:rsidRDefault="00000000">
            <w:pPr>
              <w:pStyle w:val="TableParagraph"/>
              <w:spacing w:line="249" w:lineRule="exact"/>
              <w:ind w:left="5" w:right="3"/>
              <w:jc w:val="center"/>
            </w:pPr>
            <w:r>
              <w:t>annual basis</w:t>
            </w:r>
          </w:p>
        </w:tc>
        <w:tc>
          <w:tcPr>
            <w:tcW w:w="2551" w:type="dxa"/>
          </w:tcPr>
          <w:p w14:paraId="09CEE2A5" w14:textId="77777777" w:rsidR="002050D1" w:rsidRDefault="00000000">
            <w:pPr>
              <w:pStyle w:val="TableParagraph"/>
              <w:spacing w:before="133"/>
              <w:ind w:left="12"/>
              <w:jc w:val="center"/>
            </w:pPr>
            <w:r>
              <w:t>X% on an annual basis</w:t>
            </w:r>
          </w:p>
        </w:tc>
        <w:tc>
          <w:tcPr>
            <w:tcW w:w="2126" w:type="dxa"/>
          </w:tcPr>
          <w:p w14:paraId="60D999FF" w14:textId="77777777" w:rsidR="002050D1" w:rsidRDefault="00000000">
            <w:pPr>
              <w:pStyle w:val="TableParagraph"/>
              <w:spacing w:before="133"/>
              <w:ind w:left="71"/>
            </w:pPr>
            <w:r>
              <w:t>TBC</w:t>
            </w:r>
          </w:p>
        </w:tc>
      </w:tr>
      <w:tr w:rsidR="002050D1" w14:paraId="4E188D90" w14:textId="77777777">
        <w:trPr>
          <w:trHeight w:val="275"/>
        </w:trPr>
        <w:tc>
          <w:tcPr>
            <w:tcW w:w="521" w:type="dxa"/>
            <w:vMerge/>
            <w:tcBorders>
              <w:top w:val="nil"/>
              <w:bottom w:val="nil"/>
            </w:tcBorders>
          </w:tcPr>
          <w:p w14:paraId="6DA573C4" w14:textId="77777777" w:rsidR="002050D1" w:rsidRDefault="002050D1">
            <w:pPr>
              <w:rPr>
                <w:sz w:val="2"/>
                <w:szCs w:val="2"/>
              </w:rPr>
            </w:pPr>
          </w:p>
        </w:tc>
        <w:tc>
          <w:tcPr>
            <w:tcW w:w="8732" w:type="dxa"/>
            <w:gridSpan w:val="5"/>
            <w:tcBorders>
              <w:bottom w:val="nil"/>
            </w:tcBorders>
          </w:tcPr>
          <w:p w14:paraId="7F572AF9" w14:textId="04509B6E" w:rsidR="002050D1" w:rsidRDefault="00000000">
            <w:pPr>
              <w:pStyle w:val="TableParagraph"/>
              <w:spacing w:before="6" w:line="249" w:lineRule="exact"/>
              <w:ind w:left="4" w:right="1"/>
              <w:jc w:val="center"/>
              <w:rPr>
                <w:i/>
              </w:rPr>
            </w:pPr>
            <w:r>
              <w:rPr>
                <w:i/>
              </w:rPr>
              <w:t xml:space="preserve">Link to </w:t>
            </w:r>
            <w:r w:rsidR="004D60F9">
              <w:rPr>
                <w:i/>
              </w:rPr>
              <w:t xml:space="preserve">the </w:t>
            </w:r>
            <w:r>
              <w:rPr>
                <w:i/>
              </w:rPr>
              <w:t>essential information document for depositors</w:t>
            </w:r>
          </w:p>
        </w:tc>
      </w:tr>
      <w:tr w:rsidR="002050D1" w14:paraId="39CC37DF" w14:textId="77777777">
        <w:trPr>
          <w:trHeight w:val="288"/>
        </w:trPr>
        <w:tc>
          <w:tcPr>
            <w:tcW w:w="9253" w:type="dxa"/>
            <w:gridSpan w:val="6"/>
            <w:tcBorders>
              <w:top w:val="nil"/>
              <w:bottom w:val="nil"/>
            </w:tcBorders>
            <w:shd w:val="clear" w:color="auto" w:fill="000000"/>
          </w:tcPr>
          <w:p w14:paraId="1EFBB7F0" w14:textId="77777777" w:rsidR="002050D1" w:rsidRDefault="002050D1">
            <w:pPr>
              <w:pStyle w:val="TableParagraph"/>
              <w:rPr>
                <w:rFonts w:ascii="Times New Roman"/>
                <w:sz w:val="20"/>
              </w:rPr>
            </w:pPr>
          </w:p>
        </w:tc>
      </w:tr>
      <w:tr w:rsidR="002050D1" w14:paraId="47A12DA7" w14:textId="77777777">
        <w:trPr>
          <w:trHeight w:val="287"/>
        </w:trPr>
        <w:tc>
          <w:tcPr>
            <w:tcW w:w="521" w:type="dxa"/>
            <w:vMerge w:val="restart"/>
            <w:tcBorders>
              <w:top w:val="nil"/>
            </w:tcBorders>
          </w:tcPr>
          <w:p w14:paraId="6A883D00" w14:textId="77777777" w:rsidR="002050D1" w:rsidRDefault="002050D1">
            <w:pPr>
              <w:pStyle w:val="TableParagraph"/>
            </w:pPr>
          </w:p>
          <w:p w14:paraId="079924C9" w14:textId="77777777" w:rsidR="002050D1" w:rsidRDefault="002050D1">
            <w:pPr>
              <w:pStyle w:val="TableParagraph"/>
              <w:spacing w:before="163"/>
            </w:pPr>
          </w:p>
          <w:p w14:paraId="1924E932" w14:textId="77777777" w:rsidR="002050D1" w:rsidRDefault="00000000">
            <w:pPr>
              <w:pStyle w:val="TableParagraph"/>
              <w:ind w:left="8"/>
              <w:jc w:val="center"/>
              <w:rPr>
                <w:b/>
              </w:rPr>
            </w:pPr>
            <w:r>
              <w:rPr>
                <w:b/>
              </w:rPr>
              <w:t>4</w:t>
            </w:r>
          </w:p>
        </w:tc>
        <w:tc>
          <w:tcPr>
            <w:tcW w:w="8732" w:type="dxa"/>
            <w:gridSpan w:val="5"/>
            <w:tcBorders>
              <w:top w:val="nil"/>
            </w:tcBorders>
          </w:tcPr>
          <w:p w14:paraId="3812E327" w14:textId="77777777" w:rsidR="002050D1" w:rsidRDefault="00000000">
            <w:pPr>
              <w:pStyle w:val="TableParagraph"/>
              <w:spacing w:before="18" w:line="249" w:lineRule="exact"/>
              <w:ind w:left="4"/>
              <w:jc w:val="center"/>
              <w:rPr>
                <w:b/>
              </w:rPr>
            </w:pPr>
            <w:r>
              <w:rPr>
                <w:b/>
              </w:rPr>
              <w:t>Full official name of savings account</w:t>
            </w:r>
          </w:p>
        </w:tc>
      </w:tr>
      <w:tr w:rsidR="002050D1" w14:paraId="6D7BA39C" w14:textId="77777777">
        <w:trPr>
          <w:trHeight w:val="537"/>
        </w:trPr>
        <w:tc>
          <w:tcPr>
            <w:tcW w:w="521" w:type="dxa"/>
            <w:vMerge/>
            <w:tcBorders>
              <w:top w:val="nil"/>
            </w:tcBorders>
          </w:tcPr>
          <w:p w14:paraId="0D613B62" w14:textId="77777777" w:rsidR="002050D1" w:rsidRDefault="002050D1">
            <w:pPr>
              <w:rPr>
                <w:sz w:val="2"/>
                <w:szCs w:val="2"/>
              </w:rPr>
            </w:pPr>
          </w:p>
        </w:tc>
        <w:tc>
          <w:tcPr>
            <w:tcW w:w="1080" w:type="dxa"/>
          </w:tcPr>
          <w:p w14:paraId="662FDEAA" w14:textId="77777777" w:rsidR="002050D1" w:rsidRDefault="00000000">
            <w:pPr>
              <w:pStyle w:val="TableParagraph"/>
              <w:spacing w:before="268" w:line="249" w:lineRule="exact"/>
              <w:ind w:right="118"/>
              <w:jc w:val="right"/>
              <w:rPr>
                <w:b/>
              </w:rPr>
            </w:pPr>
            <w:r>
              <w:rPr>
                <w:b/>
              </w:rPr>
              <w:t>Category</w:t>
            </w:r>
          </w:p>
        </w:tc>
        <w:tc>
          <w:tcPr>
            <w:tcW w:w="1418" w:type="dxa"/>
          </w:tcPr>
          <w:p w14:paraId="557E0536" w14:textId="74641D7D" w:rsidR="002050D1" w:rsidRDefault="004D60F9">
            <w:pPr>
              <w:pStyle w:val="TableParagraph"/>
              <w:spacing w:line="268" w:lineRule="exact"/>
              <w:ind w:left="66"/>
              <w:rPr>
                <w:b/>
              </w:rPr>
            </w:pPr>
            <w:r>
              <w:rPr>
                <w:b/>
              </w:rPr>
              <w:t>Base</w:t>
            </w:r>
          </w:p>
          <w:p w14:paraId="5E9AC035" w14:textId="77777777" w:rsidR="002050D1" w:rsidRDefault="00000000">
            <w:pPr>
              <w:pStyle w:val="TableParagraph"/>
              <w:spacing w:line="249" w:lineRule="exact"/>
              <w:ind w:left="66"/>
              <w:rPr>
                <w:b/>
              </w:rPr>
            </w:pPr>
            <w:r>
              <w:rPr>
                <w:b/>
              </w:rPr>
              <w:t>interest rate</w:t>
            </w:r>
          </w:p>
        </w:tc>
        <w:tc>
          <w:tcPr>
            <w:tcW w:w="1557" w:type="dxa"/>
          </w:tcPr>
          <w:p w14:paraId="71CC980E" w14:textId="77777777" w:rsidR="002050D1" w:rsidRDefault="00000000">
            <w:pPr>
              <w:pStyle w:val="TableParagraph"/>
              <w:spacing w:line="268" w:lineRule="exact"/>
              <w:ind w:left="67"/>
              <w:rPr>
                <w:b/>
              </w:rPr>
            </w:pPr>
            <w:r>
              <w:rPr>
                <w:b/>
              </w:rPr>
              <w:t>Loyalty</w:t>
            </w:r>
          </w:p>
          <w:p w14:paraId="50F23304" w14:textId="77777777" w:rsidR="002050D1" w:rsidRDefault="00000000">
            <w:pPr>
              <w:pStyle w:val="TableParagraph"/>
              <w:spacing w:line="249" w:lineRule="exact"/>
              <w:ind w:left="67"/>
              <w:rPr>
                <w:b/>
              </w:rPr>
            </w:pPr>
            <w:r>
              <w:rPr>
                <w:b/>
              </w:rPr>
              <w:t>premium</w:t>
            </w:r>
          </w:p>
        </w:tc>
        <w:tc>
          <w:tcPr>
            <w:tcW w:w="2551" w:type="dxa"/>
          </w:tcPr>
          <w:p w14:paraId="769C09E0" w14:textId="77777777" w:rsidR="002050D1" w:rsidRDefault="00000000">
            <w:pPr>
              <w:pStyle w:val="TableParagraph"/>
              <w:spacing w:line="268" w:lineRule="exact"/>
              <w:ind w:left="70"/>
              <w:rPr>
                <w:b/>
              </w:rPr>
            </w:pPr>
            <w:r>
              <w:rPr>
                <w:b/>
              </w:rPr>
              <w:t>Addition of base rate</w:t>
            </w:r>
          </w:p>
          <w:p w14:paraId="5B33C604" w14:textId="77777777" w:rsidR="002050D1" w:rsidRDefault="00000000">
            <w:pPr>
              <w:pStyle w:val="TableParagraph"/>
              <w:spacing w:line="249" w:lineRule="exact"/>
              <w:ind w:left="70"/>
              <w:rPr>
                <w:b/>
              </w:rPr>
            </w:pPr>
            <w:r>
              <w:rPr>
                <w:b/>
              </w:rPr>
              <w:t>and loyalty premium</w:t>
            </w:r>
          </w:p>
        </w:tc>
        <w:tc>
          <w:tcPr>
            <w:tcW w:w="2126" w:type="dxa"/>
          </w:tcPr>
          <w:p w14:paraId="6C407A2A" w14:textId="77777777" w:rsidR="002050D1" w:rsidRDefault="00000000">
            <w:pPr>
              <w:pStyle w:val="TableParagraph"/>
              <w:spacing w:line="268" w:lineRule="exact"/>
              <w:ind w:left="70"/>
              <w:rPr>
                <w:b/>
              </w:rPr>
            </w:pPr>
            <w:r>
              <w:rPr>
                <w:b/>
              </w:rPr>
              <w:t>Applicable</w:t>
            </w:r>
          </w:p>
          <w:p w14:paraId="009BA0FC" w14:textId="77777777" w:rsidR="002050D1" w:rsidRDefault="00000000">
            <w:pPr>
              <w:pStyle w:val="TableParagraph"/>
              <w:spacing w:line="249" w:lineRule="exact"/>
              <w:ind w:left="70"/>
              <w:rPr>
                <w:b/>
              </w:rPr>
            </w:pPr>
            <w:r>
              <w:rPr>
                <w:b/>
              </w:rPr>
              <w:t>conditions</w:t>
            </w:r>
          </w:p>
        </w:tc>
      </w:tr>
      <w:tr w:rsidR="002050D1" w14:paraId="5331B000" w14:textId="77777777">
        <w:trPr>
          <w:trHeight w:val="537"/>
        </w:trPr>
        <w:tc>
          <w:tcPr>
            <w:tcW w:w="521" w:type="dxa"/>
            <w:vMerge/>
            <w:tcBorders>
              <w:top w:val="nil"/>
            </w:tcBorders>
          </w:tcPr>
          <w:p w14:paraId="3B407D20" w14:textId="77777777" w:rsidR="002050D1" w:rsidRDefault="002050D1">
            <w:pPr>
              <w:rPr>
                <w:sz w:val="2"/>
                <w:szCs w:val="2"/>
              </w:rPr>
            </w:pPr>
          </w:p>
        </w:tc>
        <w:tc>
          <w:tcPr>
            <w:tcW w:w="1080" w:type="dxa"/>
          </w:tcPr>
          <w:p w14:paraId="340D17C2" w14:textId="77777777" w:rsidR="002050D1" w:rsidRDefault="00000000">
            <w:pPr>
              <w:pStyle w:val="TableParagraph"/>
              <w:spacing w:before="133"/>
              <w:ind w:right="161"/>
              <w:jc w:val="right"/>
            </w:pPr>
            <w:r>
              <w:t>A / B / C</w:t>
            </w:r>
          </w:p>
        </w:tc>
        <w:tc>
          <w:tcPr>
            <w:tcW w:w="1418" w:type="dxa"/>
          </w:tcPr>
          <w:p w14:paraId="75552CDD" w14:textId="77777777" w:rsidR="002050D1" w:rsidRDefault="00000000">
            <w:pPr>
              <w:pStyle w:val="TableParagraph"/>
              <w:spacing w:line="268" w:lineRule="exact"/>
              <w:ind w:left="1" w:right="1"/>
              <w:jc w:val="center"/>
            </w:pPr>
            <w:r>
              <w:t>X% on an</w:t>
            </w:r>
          </w:p>
          <w:p w14:paraId="5FA70DC0" w14:textId="77777777" w:rsidR="002050D1" w:rsidRDefault="00000000">
            <w:pPr>
              <w:pStyle w:val="TableParagraph"/>
              <w:spacing w:line="249" w:lineRule="exact"/>
              <w:ind w:left="1"/>
              <w:jc w:val="center"/>
            </w:pPr>
            <w:r>
              <w:t>annual basis</w:t>
            </w:r>
          </w:p>
        </w:tc>
        <w:tc>
          <w:tcPr>
            <w:tcW w:w="1557" w:type="dxa"/>
          </w:tcPr>
          <w:p w14:paraId="26C75525" w14:textId="77777777" w:rsidR="002050D1" w:rsidRDefault="00000000">
            <w:pPr>
              <w:pStyle w:val="TableParagraph"/>
              <w:spacing w:line="268" w:lineRule="exact"/>
              <w:ind w:left="5"/>
              <w:jc w:val="center"/>
            </w:pPr>
            <w:r>
              <w:t>X% on an</w:t>
            </w:r>
          </w:p>
          <w:p w14:paraId="481A307A" w14:textId="77777777" w:rsidR="002050D1" w:rsidRDefault="00000000">
            <w:pPr>
              <w:pStyle w:val="TableParagraph"/>
              <w:spacing w:line="249" w:lineRule="exact"/>
              <w:ind w:left="5" w:right="3"/>
              <w:jc w:val="center"/>
            </w:pPr>
            <w:r>
              <w:t>annual basis</w:t>
            </w:r>
          </w:p>
        </w:tc>
        <w:tc>
          <w:tcPr>
            <w:tcW w:w="2551" w:type="dxa"/>
          </w:tcPr>
          <w:p w14:paraId="2FC28F77" w14:textId="77777777" w:rsidR="002050D1" w:rsidRDefault="00000000">
            <w:pPr>
              <w:pStyle w:val="TableParagraph"/>
              <w:spacing w:before="133"/>
              <w:ind w:left="12"/>
              <w:jc w:val="center"/>
            </w:pPr>
            <w:r>
              <w:t>X% on an annual basis</w:t>
            </w:r>
          </w:p>
        </w:tc>
        <w:tc>
          <w:tcPr>
            <w:tcW w:w="2126" w:type="dxa"/>
          </w:tcPr>
          <w:p w14:paraId="56068539" w14:textId="77777777" w:rsidR="002050D1" w:rsidRDefault="00000000">
            <w:pPr>
              <w:pStyle w:val="TableParagraph"/>
              <w:spacing w:before="133"/>
              <w:ind w:left="71"/>
            </w:pPr>
            <w:r>
              <w:t>TBC</w:t>
            </w:r>
          </w:p>
        </w:tc>
      </w:tr>
      <w:tr w:rsidR="002050D1" w14:paraId="0A4FF855" w14:textId="77777777">
        <w:trPr>
          <w:trHeight w:val="275"/>
        </w:trPr>
        <w:tc>
          <w:tcPr>
            <w:tcW w:w="521" w:type="dxa"/>
            <w:vMerge/>
            <w:tcBorders>
              <w:top w:val="nil"/>
            </w:tcBorders>
          </w:tcPr>
          <w:p w14:paraId="3439D71A" w14:textId="77777777" w:rsidR="002050D1" w:rsidRDefault="002050D1">
            <w:pPr>
              <w:rPr>
                <w:sz w:val="2"/>
                <w:szCs w:val="2"/>
              </w:rPr>
            </w:pPr>
          </w:p>
        </w:tc>
        <w:tc>
          <w:tcPr>
            <w:tcW w:w="8732" w:type="dxa"/>
            <w:gridSpan w:val="5"/>
          </w:tcPr>
          <w:p w14:paraId="29FDD7E3" w14:textId="622F2465" w:rsidR="002050D1" w:rsidRDefault="00000000">
            <w:pPr>
              <w:pStyle w:val="TableParagraph"/>
              <w:spacing w:before="6" w:line="249" w:lineRule="exact"/>
              <w:ind w:left="4" w:right="1"/>
              <w:jc w:val="center"/>
              <w:rPr>
                <w:i/>
              </w:rPr>
            </w:pPr>
            <w:r>
              <w:rPr>
                <w:i/>
              </w:rPr>
              <w:t xml:space="preserve">Link to </w:t>
            </w:r>
            <w:r w:rsidR="004D60F9">
              <w:rPr>
                <w:i/>
              </w:rPr>
              <w:t xml:space="preserve">the </w:t>
            </w:r>
            <w:r>
              <w:rPr>
                <w:i/>
              </w:rPr>
              <w:t>essential information document for depositors</w:t>
            </w:r>
          </w:p>
        </w:tc>
      </w:tr>
    </w:tbl>
    <w:p w14:paraId="38F698B1" w14:textId="0AD8FCA5" w:rsidR="002050D1" w:rsidRDefault="00000000">
      <w:pPr>
        <w:pStyle w:val="Plattetekst"/>
        <w:ind w:left="343" w:right="305"/>
      </w:pPr>
      <w:r>
        <w:t>Interest at the</w:t>
      </w:r>
      <w:r>
        <w:rPr>
          <w:b/>
        </w:rPr>
        <w:t xml:space="preserve"> base rate </w:t>
      </w:r>
      <w:r>
        <w:t xml:space="preserve">is earned from the </w:t>
      </w:r>
      <w:r>
        <w:rPr>
          <w:color w:val="000000"/>
          <w:highlight w:val="yellow"/>
        </w:rPr>
        <w:t xml:space="preserve">day of/after </w:t>
      </w:r>
      <w:r>
        <w:rPr>
          <w:color w:val="000000"/>
        </w:rPr>
        <w:t xml:space="preserve">depositing the money in the account until the day on which it is withdrawn. The bank can alter the base rate at any time. Interest at the base rate is paid into your account on the value date </w:t>
      </w:r>
      <w:r w:rsidR="004D60F9">
        <w:rPr>
          <w:color w:val="000000"/>
        </w:rPr>
        <w:t>(</w:t>
      </w:r>
      <w:r>
        <w:rPr>
          <w:color w:val="000000"/>
        </w:rPr>
        <w:t>1 January</w:t>
      </w:r>
      <w:r w:rsidR="004D60F9">
        <w:rPr>
          <w:color w:val="000000"/>
        </w:rPr>
        <w:t>)</w:t>
      </w:r>
      <w:r>
        <w:rPr>
          <w:color w:val="000000"/>
        </w:rPr>
        <w:t xml:space="preserve"> or when you close the account.</w:t>
      </w:r>
    </w:p>
    <w:p w14:paraId="674C8089" w14:textId="77777777" w:rsidR="002050D1" w:rsidRDefault="002050D1">
      <w:pPr>
        <w:sectPr w:rsidR="002050D1">
          <w:type w:val="continuous"/>
          <w:pgSz w:w="11910" w:h="16840"/>
          <w:pgMar w:top="1380" w:right="600" w:bottom="280" w:left="1300" w:header="708" w:footer="708" w:gutter="0"/>
          <w:cols w:space="708"/>
        </w:sect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9516"/>
        <w:gridCol w:w="144"/>
      </w:tblGrid>
      <w:tr w:rsidR="002050D1" w14:paraId="4CAF5383" w14:textId="77777777">
        <w:trPr>
          <w:trHeight w:val="4022"/>
        </w:trPr>
        <w:tc>
          <w:tcPr>
            <w:tcW w:w="115" w:type="dxa"/>
          </w:tcPr>
          <w:p w14:paraId="7CEBF77C" w14:textId="77777777" w:rsidR="002050D1" w:rsidRDefault="002050D1">
            <w:pPr>
              <w:pStyle w:val="TableParagraph"/>
              <w:rPr>
                <w:rFonts w:ascii="Times New Roman"/>
              </w:rPr>
            </w:pPr>
          </w:p>
        </w:tc>
        <w:tc>
          <w:tcPr>
            <w:tcW w:w="9516" w:type="dxa"/>
            <w:tcBorders>
              <w:top w:val="double" w:sz="4" w:space="0" w:color="000000"/>
              <w:bottom w:val="single" w:sz="8" w:space="0" w:color="000000"/>
            </w:tcBorders>
          </w:tcPr>
          <w:p w14:paraId="03824996" w14:textId="56C807E6" w:rsidR="002050D1" w:rsidRDefault="00000000">
            <w:pPr>
              <w:pStyle w:val="TableParagraph"/>
              <w:spacing w:before="264"/>
              <w:ind w:left="107" w:right="91"/>
              <w:jc w:val="both"/>
            </w:pPr>
            <w:r>
              <w:t xml:space="preserve">The </w:t>
            </w:r>
            <w:r>
              <w:rPr>
                <w:b/>
              </w:rPr>
              <w:t>loyalty premium</w:t>
            </w:r>
            <w:r>
              <w:t xml:space="preserve"> is only </w:t>
            </w:r>
            <w:r w:rsidR="00D626D0">
              <w:t>earned</w:t>
            </w:r>
            <w:r>
              <w:t xml:space="preserve"> on amounts that have remained continuously in the regulated savings account for 12 months after they are deposited. If you withdraw your money before the end of the 12-month period, you will not receive a loyalty premium on that money. This withdrawal will not affect you earning interest at the base rate. This premium runs from the </w:t>
            </w:r>
            <w:r>
              <w:rPr>
                <w:color w:val="000000"/>
                <w:highlight w:val="yellow"/>
              </w:rPr>
              <w:t>day of/after</w:t>
            </w:r>
            <w:r>
              <w:rPr>
                <w:color w:val="000000"/>
              </w:rPr>
              <w:t xml:space="preserve"> the deposit. A new 12-month accrual period starts on the day on which the loyalty premiu</w:t>
            </w:r>
            <w:r w:rsidR="00D626D0">
              <w:rPr>
                <w:color w:val="000000"/>
              </w:rPr>
              <w:t>m is earned</w:t>
            </w:r>
            <w:r>
              <w:rPr>
                <w:color w:val="000000"/>
              </w:rPr>
              <w:t>. The bank can alter the loyalty premium rate at any time. The loyalty premium rate in force at the time of payment or the start of a new period remains unaltered for a period of 12 months. Loyalty premiums that have already been earned are paid into your account on the first day following the quarter in which they were earned, i.e. 1 January, 1 April, 1 July and 1 October, or when you close your account.</w:t>
            </w:r>
          </w:p>
          <w:p w14:paraId="384DA495" w14:textId="30A29118" w:rsidR="002050D1" w:rsidRDefault="00000000">
            <w:pPr>
              <w:pStyle w:val="TableParagraph"/>
              <w:spacing w:before="2" w:line="237" w:lineRule="auto"/>
              <w:ind w:left="107" w:right="175"/>
            </w:pPr>
            <w:r>
              <w:t xml:space="preserve">Clients will be </w:t>
            </w:r>
            <w:r>
              <w:rPr>
                <w:color w:val="000000"/>
              </w:rPr>
              <w:t>notified</w:t>
            </w:r>
            <w:r w:rsidR="00D626D0">
              <w:rPr>
                <w:color w:val="000000"/>
              </w:rPr>
              <w:t xml:space="preserve"> </w:t>
            </w:r>
            <w:r>
              <w:rPr>
                <w:color w:val="000000"/>
                <w:highlight w:val="yellow"/>
              </w:rPr>
              <w:t>through their account statements</w:t>
            </w:r>
            <w:r w:rsidRPr="00D626D0">
              <w:rPr>
                <w:color w:val="000000"/>
              </w:rPr>
              <w:t xml:space="preserve"> of</w:t>
            </w:r>
            <w:r>
              <w:rPr>
                <w:color w:val="000000"/>
              </w:rPr>
              <w:t xml:space="preserve"> changes in the rates below.</w:t>
            </w:r>
          </w:p>
          <w:p w14:paraId="15AFBE99" w14:textId="60957477" w:rsidR="002050D1" w:rsidRDefault="00000000">
            <w:pPr>
              <w:pStyle w:val="TableParagraph"/>
              <w:spacing w:line="270" w:lineRule="atLeast"/>
              <w:ind w:left="107" w:right="175" w:firstLine="100"/>
            </w:pPr>
            <w:r>
              <w:rPr>
                <w:b/>
                <w:u w:val="single"/>
              </w:rPr>
              <w:t>Costs</w:t>
            </w:r>
            <w:r>
              <w:rPr>
                <w:b/>
              </w:rPr>
              <w:t xml:space="preserve">: </w:t>
            </w:r>
            <w:r>
              <w:t>opening/closing/annual statement</w:t>
            </w:r>
            <w:r w:rsidR="00D626D0">
              <w:t>,</w:t>
            </w:r>
            <w:r>
              <w:t xml:space="preserve"> any postage and other costs: euro</w:t>
            </w:r>
            <w:r w:rsidR="00A404DA">
              <w:t>s</w:t>
            </w:r>
            <w:r>
              <w:t>/free of charge</w:t>
            </w:r>
          </w:p>
        </w:tc>
        <w:tc>
          <w:tcPr>
            <w:tcW w:w="144" w:type="dxa"/>
          </w:tcPr>
          <w:p w14:paraId="122FBE97" w14:textId="77777777" w:rsidR="002050D1" w:rsidRDefault="002050D1">
            <w:pPr>
              <w:pStyle w:val="TableParagraph"/>
              <w:rPr>
                <w:rFonts w:ascii="Times New Roman"/>
              </w:rPr>
            </w:pPr>
          </w:p>
        </w:tc>
      </w:tr>
      <w:tr w:rsidR="002050D1" w14:paraId="181AE4F6" w14:textId="77777777">
        <w:trPr>
          <w:trHeight w:val="1889"/>
        </w:trPr>
        <w:tc>
          <w:tcPr>
            <w:tcW w:w="9775" w:type="dxa"/>
            <w:gridSpan w:val="3"/>
            <w:tcBorders>
              <w:top w:val="single" w:sz="8" w:space="0" w:color="000000"/>
            </w:tcBorders>
          </w:tcPr>
          <w:p w14:paraId="7D23AC51" w14:textId="77777777" w:rsidR="002050D1" w:rsidRDefault="00000000">
            <w:pPr>
              <w:pStyle w:val="TableParagraph"/>
              <w:tabs>
                <w:tab w:val="left" w:pos="822"/>
              </w:tabs>
              <w:spacing w:line="267" w:lineRule="exact"/>
              <w:ind w:left="290"/>
              <w:rPr>
                <w:b/>
              </w:rPr>
            </w:pPr>
            <w:r>
              <w:rPr>
                <w:b/>
              </w:rPr>
              <w:t>II.</w:t>
            </w:r>
            <w:r>
              <w:rPr>
                <w:b/>
              </w:rPr>
              <w:tab/>
            </w:r>
            <w:r>
              <w:rPr>
                <w:b/>
                <w:color w:val="000000"/>
                <w:highlight w:val="lightGray"/>
              </w:rPr>
              <w:t>Where to consult X Bank’s savings calculator</w:t>
            </w:r>
            <w:r>
              <w:rPr>
                <w:b/>
                <w:color w:val="000000"/>
              </w:rPr>
              <w:t>.</w:t>
            </w:r>
          </w:p>
          <w:p w14:paraId="5C96968F" w14:textId="67A511FE" w:rsidR="002050D1" w:rsidRDefault="00000000">
            <w:pPr>
              <w:pStyle w:val="TableParagraph"/>
              <w:spacing w:line="270" w:lineRule="atLeast"/>
              <w:ind w:left="823" w:right="193"/>
            </w:pPr>
            <w:r>
              <w:t>Each credit institution develops this savings calculator and applies it to each individual regulated savings account. The aim is to enable you to ascertain the extent to which the various types of interest (base rate and loyalty premium) are earned on a given account, allowing you to assess, in particular, the financial impact of any withdrawal. This tool can be consulted digitally after the necessary verifications through your PC banking profile</w:t>
            </w:r>
            <w:r w:rsidR="00D626D0">
              <w:t xml:space="preserve"> </w:t>
            </w:r>
            <w:r>
              <w:rPr>
                <w:color w:val="000000"/>
                <w:highlight w:val="yellow"/>
              </w:rPr>
              <w:t>(more info = bank-specific)</w:t>
            </w:r>
            <w:r>
              <w:rPr>
                <w:color w:val="000000"/>
              </w:rPr>
              <w:t>.</w:t>
            </w:r>
          </w:p>
        </w:tc>
      </w:tr>
      <w:tr w:rsidR="002050D1" w14:paraId="12B93CE6" w14:textId="77777777">
        <w:trPr>
          <w:trHeight w:val="1190"/>
        </w:trPr>
        <w:tc>
          <w:tcPr>
            <w:tcW w:w="9775" w:type="dxa"/>
            <w:gridSpan w:val="3"/>
          </w:tcPr>
          <w:p w14:paraId="5ACE7241" w14:textId="77777777" w:rsidR="002050D1" w:rsidRDefault="00000000">
            <w:pPr>
              <w:pStyle w:val="TableParagraph"/>
              <w:tabs>
                <w:tab w:val="left" w:pos="822"/>
              </w:tabs>
              <w:spacing w:before="1" w:line="267" w:lineRule="exact"/>
              <w:ind w:left="232"/>
              <w:rPr>
                <w:b/>
              </w:rPr>
            </w:pPr>
            <w:r>
              <w:rPr>
                <w:b/>
              </w:rPr>
              <w:t>III.</w:t>
            </w:r>
            <w:r>
              <w:rPr>
                <w:b/>
              </w:rPr>
              <w:tab/>
              <w:t>Which account and payment match your needs?</w:t>
            </w:r>
          </w:p>
          <w:p w14:paraId="3D020CFE" w14:textId="318616CA" w:rsidR="002050D1" w:rsidRDefault="00000000">
            <w:pPr>
              <w:pStyle w:val="TableParagraph"/>
              <w:ind w:left="823" w:right="193"/>
            </w:pPr>
            <w:r>
              <w:t xml:space="preserve">This link </w:t>
            </w:r>
            <w:r>
              <w:rPr>
                <w:color w:val="000000"/>
                <w:highlight w:val="yellow"/>
              </w:rPr>
              <w:t>(XXXX)</w:t>
            </w:r>
            <w:r>
              <w:rPr>
                <w:color w:val="000000"/>
              </w:rPr>
              <w:t xml:space="preserve"> takes you to the web page of the </w:t>
            </w:r>
            <w:r>
              <w:rPr>
                <w:b/>
                <w:color w:val="000000"/>
              </w:rPr>
              <w:t xml:space="preserve">simulator </w:t>
            </w:r>
            <w:r>
              <w:rPr>
                <w:color w:val="000000"/>
              </w:rPr>
              <w:t>developed by the Belgian supervisory authority (FSMA)</w:t>
            </w:r>
            <w:r w:rsidR="00034DF4">
              <w:rPr>
                <w:color w:val="000000"/>
              </w:rPr>
              <w:t>. A</w:t>
            </w:r>
            <w:r>
              <w:rPr>
                <w:color w:val="000000"/>
              </w:rPr>
              <w:t xml:space="preserve">fter </w:t>
            </w:r>
            <w:r w:rsidR="00D626D0">
              <w:rPr>
                <w:color w:val="000000"/>
              </w:rPr>
              <w:t>you enter</w:t>
            </w:r>
            <w:r>
              <w:rPr>
                <w:color w:val="000000"/>
              </w:rPr>
              <w:t xml:space="preserve"> some data </w:t>
            </w:r>
            <w:r w:rsidR="00034DF4">
              <w:rPr>
                <w:color w:val="000000"/>
              </w:rPr>
              <w:t xml:space="preserve">in this simulator </w:t>
            </w:r>
            <w:r>
              <w:rPr>
                <w:color w:val="000000"/>
              </w:rPr>
              <w:t xml:space="preserve">such as the amount to be saved and the term of the deposit, </w:t>
            </w:r>
            <w:r w:rsidR="00034DF4">
              <w:rPr>
                <w:color w:val="000000"/>
              </w:rPr>
              <w:t>its purpose is to provide you with</w:t>
            </w:r>
            <w:r>
              <w:rPr>
                <w:color w:val="000000"/>
              </w:rPr>
              <w:t xml:space="preserve"> a summary of the income </w:t>
            </w:r>
            <w:r w:rsidR="00034DF4">
              <w:rPr>
                <w:color w:val="000000"/>
              </w:rPr>
              <w:t>per</w:t>
            </w:r>
            <w:r>
              <w:rPr>
                <w:color w:val="000000"/>
              </w:rPr>
              <w:t xml:space="preserve"> regulated savings account </w:t>
            </w:r>
            <w:r w:rsidR="00034DF4">
              <w:rPr>
                <w:color w:val="000000"/>
              </w:rPr>
              <w:t>and per</w:t>
            </w:r>
            <w:r>
              <w:rPr>
                <w:color w:val="000000"/>
              </w:rPr>
              <w:t xml:space="preserve"> institution.</w:t>
            </w:r>
          </w:p>
        </w:tc>
      </w:tr>
      <w:tr w:rsidR="002050D1" w14:paraId="4FA4BCFD" w14:textId="77777777">
        <w:trPr>
          <w:trHeight w:val="803"/>
        </w:trPr>
        <w:tc>
          <w:tcPr>
            <w:tcW w:w="9775" w:type="dxa"/>
            <w:gridSpan w:val="3"/>
          </w:tcPr>
          <w:p w14:paraId="02CEB93B" w14:textId="48B96D12" w:rsidR="002050D1" w:rsidRDefault="00000000" w:rsidP="00034DF4">
            <w:pPr>
              <w:pStyle w:val="TableParagraph"/>
              <w:tabs>
                <w:tab w:val="left" w:pos="875"/>
              </w:tabs>
              <w:spacing w:line="268" w:lineRule="exact"/>
              <w:ind w:left="875" w:hanging="653"/>
            </w:pPr>
            <w:r>
              <w:rPr>
                <w:b/>
              </w:rPr>
              <w:t>IV.</w:t>
            </w:r>
            <w:r>
              <w:rPr>
                <w:b/>
              </w:rPr>
              <w:tab/>
            </w:r>
            <w:r>
              <w:rPr>
                <w:b/>
                <w:color w:val="000000"/>
                <w:highlight w:val="lightGray"/>
              </w:rPr>
              <w:t>Link to the bank switching service</w:t>
            </w:r>
            <w:r>
              <w:rPr>
                <w:b/>
                <w:color w:val="000000"/>
              </w:rPr>
              <w:t xml:space="preserve">: </w:t>
            </w:r>
            <w:r>
              <w:rPr>
                <w:color w:val="000000"/>
              </w:rPr>
              <w:t xml:space="preserve">This link </w:t>
            </w:r>
            <w:r>
              <w:rPr>
                <w:color w:val="000000"/>
                <w:highlight w:val="yellow"/>
              </w:rPr>
              <w:t>(XXXX)</w:t>
            </w:r>
            <w:r>
              <w:rPr>
                <w:color w:val="000000"/>
              </w:rPr>
              <w:t xml:space="preserve"> takes you to </w:t>
            </w:r>
            <w:proofErr w:type="spellStart"/>
            <w:r>
              <w:rPr>
                <w:b/>
                <w:color w:val="000000"/>
              </w:rPr>
              <w:t>Febelfin’s</w:t>
            </w:r>
            <w:proofErr w:type="spellEnd"/>
            <w:r>
              <w:rPr>
                <w:b/>
                <w:color w:val="000000"/>
              </w:rPr>
              <w:t xml:space="preserve"> bank switching service</w:t>
            </w:r>
            <w:r w:rsidR="00034DF4">
              <w:rPr>
                <w:b/>
                <w:color w:val="000000"/>
              </w:rPr>
              <w:t xml:space="preserve"> </w:t>
            </w:r>
            <w:r>
              <w:t>where you can find all the necessary information to use this service to</w:t>
            </w:r>
            <w:r w:rsidR="00034DF4">
              <w:t xml:space="preserve"> </w:t>
            </w:r>
            <w:r>
              <w:t>switch to another bank</w:t>
            </w:r>
            <w:r w:rsidR="00034DF4">
              <w:t>, if required</w:t>
            </w:r>
            <w:r>
              <w:t>.</w:t>
            </w:r>
          </w:p>
        </w:tc>
      </w:tr>
      <w:tr w:rsidR="002050D1" w14:paraId="749EC7E8" w14:textId="77777777">
        <w:trPr>
          <w:trHeight w:val="2150"/>
        </w:trPr>
        <w:tc>
          <w:tcPr>
            <w:tcW w:w="9775" w:type="dxa"/>
            <w:gridSpan w:val="3"/>
          </w:tcPr>
          <w:p w14:paraId="7DF3045C" w14:textId="4B5FF144" w:rsidR="002050D1" w:rsidRDefault="00000000" w:rsidP="00034DF4">
            <w:pPr>
              <w:pStyle w:val="TableParagraph"/>
              <w:tabs>
                <w:tab w:val="left" w:pos="830"/>
              </w:tabs>
              <w:spacing w:before="1" w:line="267" w:lineRule="exact"/>
              <w:ind w:left="875" w:hanging="595"/>
              <w:rPr>
                <w:b/>
              </w:rPr>
            </w:pPr>
            <w:r>
              <w:rPr>
                <w:b/>
              </w:rPr>
              <w:t xml:space="preserve">V. </w:t>
            </w:r>
            <w:r w:rsidR="00034DF4">
              <w:rPr>
                <w:b/>
              </w:rPr>
              <w:t xml:space="preserve">      </w:t>
            </w:r>
            <w:r>
              <w:rPr>
                <w:b/>
              </w:rPr>
              <w:t>Main risks</w:t>
            </w:r>
          </w:p>
          <w:p w14:paraId="6EFB3514" w14:textId="77777777" w:rsidR="002050D1" w:rsidRDefault="00000000">
            <w:pPr>
              <w:pStyle w:val="TableParagraph"/>
              <w:ind w:left="830" w:right="149"/>
            </w:pPr>
            <w:r>
              <w:rPr>
                <w:u w:val="single"/>
              </w:rPr>
              <w:t>Insolvency risk:</w:t>
            </w:r>
            <w:r>
              <w:t xml:space="preserve"> In the event of the insolvency or risk of insolvency of the financial institution, depositors risk not recovering their savings or may be required to reduce/convert the amount of their claims against the financial institution above €100,000, an amount covered by the deposit protection mechanism, into capital shares (Bail-in). More information on this protection mechanism can be found on the website of the Guarantee Fund (garantiefonds.belgium.be/en).</w:t>
            </w:r>
          </w:p>
          <w:p w14:paraId="3630439E" w14:textId="77777777" w:rsidR="002050D1" w:rsidRDefault="00000000">
            <w:pPr>
              <w:pStyle w:val="TableParagraph"/>
              <w:spacing w:before="1" w:line="249" w:lineRule="exact"/>
              <w:ind w:left="830"/>
            </w:pPr>
            <w:r>
              <w:rPr>
                <w:u w:val="single"/>
              </w:rPr>
              <w:t>Inflation risk:</w:t>
            </w:r>
            <w:r>
              <w:t xml:space="preserve"> Continuous price increases can cause the deposited money to lose value.</w:t>
            </w:r>
          </w:p>
        </w:tc>
      </w:tr>
      <w:tr w:rsidR="002050D1" w14:paraId="6C58DE5D" w14:textId="77777777">
        <w:trPr>
          <w:trHeight w:val="806"/>
        </w:trPr>
        <w:tc>
          <w:tcPr>
            <w:tcW w:w="9775" w:type="dxa"/>
            <w:gridSpan w:val="3"/>
          </w:tcPr>
          <w:p w14:paraId="532FD05A" w14:textId="2776704C" w:rsidR="002050D1" w:rsidRDefault="00A404DA" w:rsidP="00A404DA">
            <w:pPr>
              <w:pStyle w:val="TableParagraph"/>
              <w:tabs>
                <w:tab w:val="left" w:pos="830"/>
              </w:tabs>
              <w:spacing w:line="268" w:lineRule="exact"/>
              <w:ind w:left="875" w:hanging="709"/>
            </w:pPr>
            <w:r>
              <w:rPr>
                <w:b/>
              </w:rPr>
              <w:t xml:space="preserve"> VI.</w:t>
            </w:r>
            <w:r>
              <w:rPr>
                <w:b/>
              </w:rPr>
              <w:tab/>
              <w:t xml:space="preserve"> General: </w:t>
            </w:r>
            <w:r>
              <w:t xml:space="preserve">The savings account(s) described on this page is/are regulated savings account(s) of XXX </w:t>
            </w:r>
            <w:r w:rsidR="00DE560F">
              <w:t xml:space="preserve">  </w:t>
            </w:r>
            <w:r>
              <w:t>Bank. This/these product(s) is/are subject to Belgian law and unlimited in duration.</w:t>
            </w:r>
          </w:p>
        </w:tc>
      </w:tr>
      <w:tr w:rsidR="002050D1" w14:paraId="6F747E0B" w14:textId="77777777">
        <w:trPr>
          <w:trHeight w:val="2145"/>
        </w:trPr>
        <w:tc>
          <w:tcPr>
            <w:tcW w:w="9775" w:type="dxa"/>
            <w:gridSpan w:val="3"/>
          </w:tcPr>
          <w:p w14:paraId="43109D6F" w14:textId="483CD0C2" w:rsidR="002050D1" w:rsidRDefault="00000000" w:rsidP="00A404DA">
            <w:pPr>
              <w:pStyle w:val="TableParagraph"/>
              <w:tabs>
                <w:tab w:val="left" w:pos="830"/>
              </w:tabs>
              <w:ind w:left="830" w:right="149" w:hanging="668"/>
            </w:pPr>
            <w:r>
              <w:rPr>
                <w:b/>
              </w:rPr>
              <w:t>VII.</w:t>
            </w:r>
            <w:r>
              <w:rPr>
                <w:b/>
              </w:rPr>
              <w:tab/>
              <w:t xml:space="preserve">Taxation: </w:t>
            </w:r>
            <w:r>
              <w:t>Withholding tax is not due on the first tranche of interest received (up to a ceiling of €1,020 for the 2024 income year) per account, per natural person resident in Belgium and per year. This amount is doubled for accounts opened in the name of married or legally cohabiting partners (i.e. a ceiling of €2,040 for the 2024 income year). The withholding tax is 15% on all interest above the ceiling. Your bank automatically withholds this tax at source. If you hold several savings accounts, you must specify the interest received above the ceiling that is not</w:t>
            </w:r>
            <w:r w:rsidR="00A404DA">
              <w:t xml:space="preserve"> </w:t>
            </w:r>
            <w:r>
              <w:t>subject to withholding tax on your tax return.</w:t>
            </w:r>
          </w:p>
        </w:tc>
      </w:tr>
      <w:tr w:rsidR="002050D1" w14:paraId="0BCBC208" w14:textId="77777777">
        <w:trPr>
          <w:trHeight w:val="806"/>
        </w:trPr>
        <w:tc>
          <w:tcPr>
            <w:tcW w:w="9775" w:type="dxa"/>
            <w:gridSpan w:val="3"/>
          </w:tcPr>
          <w:p w14:paraId="63145A37" w14:textId="77777777" w:rsidR="002050D1" w:rsidRDefault="00000000">
            <w:pPr>
              <w:pStyle w:val="TableParagraph"/>
              <w:tabs>
                <w:tab w:val="left" w:pos="830"/>
              </w:tabs>
              <w:spacing w:line="268" w:lineRule="exact"/>
              <w:ind w:left="105"/>
            </w:pPr>
            <w:r>
              <w:rPr>
                <w:b/>
              </w:rPr>
              <w:t>VII.</w:t>
            </w:r>
            <w:r>
              <w:rPr>
                <w:b/>
              </w:rPr>
              <w:tab/>
              <w:t xml:space="preserve">Complaints: </w:t>
            </w:r>
            <w:r>
              <w:t xml:space="preserve">If you have a complaint, you can contact </w:t>
            </w:r>
            <w:r>
              <w:rPr>
                <w:color w:val="000000"/>
                <w:highlight w:val="yellow"/>
              </w:rPr>
              <w:t>the internal complaints department</w:t>
            </w:r>
            <w:r>
              <w:rPr>
                <w:color w:val="000000"/>
              </w:rPr>
              <w:t>.</w:t>
            </w:r>
          </w:p>
          <w:p w14:paraId="1ED5D151" w14:textId="77777777" w:rsidR="002050D1" w:rsidRDefault="00000000">
            <w:pPr>
              <w:pStyle w:val="TableParagraph"/>
              <w:spacing w:line="270" w:lineRule="atLeast"/>
              <w:ind w:left="830" w:right="193"/>
            </w:pPr>
            <w:r>
              <w:t>If you are dissatisfied with the response, you can contact the Ombudsman for Financial Services (</w:t>
            </w:r>
            <w:hyperlink r:id="rId4">
              <w:r>
                <w:rPr>
                  <w:u w:val="single"/>
                </w:rPr>
                <w:t>www.ombudsfin.be/en</w:t>
              </w:r>
            </w:hyperlink>
            <w:r>
              <w:t>).</w:t>
            </w:r>
          </w:p>
        </w:tc>
      </w:tr>
    </w:tbl>
    <w:p w14:paraId="22DF69D3" w14:textId="77777777" w:rsidR="006E0F0C" w:rsidRDefault="006E0F0C"/>
    <w:sectPr w:rsidR="006E0F0C">
      <w:pgSz w:w="11910" w:h="16840"/>
      <w:pgMar w:top="1380" w:right="6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D1"/>
    <w:rsid w:val="00034DF4"/>
    <w:rsid w:val="002050D1"/>
    <w:rsid w:val="00294F73"/>
    <w:rsid w:val="00355C24"/>
    <w:rsid w:val="00405D21"/>
    <w:rsid w:val="004D60F9"/>
    <w:rsid w:val="006E0F0C"/>
    <w:rsid w:val="00A404DA"/>
    <w:rsid w:val="00AF19EA"/>
    <w:rsid w:val="00C462F8"/>
    <w:rsid w:val="00CF306B"/>
    <w:rsid w:val="00D626D0"/>
    <w:rsid w:val="00DE56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F57B"/>
  <w15:docId w15:val="{F5DFA44D-2C5D-4727-B78B-A5B5EBC8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5"/>
      <w:ind w:left="231"/>
    </w:pPr>
  </w:style>
  <w:style w:type="paragraph" w:styleId="Titel">
    <w:name w:val="Title"/>
    <w:basedOn w:val="Standaard"/>
    <w:uiPriority w:val="10"/>
    <w:qFormat/>
    <w:pPr>
      <w:spacing w:before="31"/>
      <w:ind w:left="231"/>
    </w:pPr>
    <w:rPr>
      <w:b/>
      <w:bCs/>
      <w:sz w:val="28"/>
      <w:szCs w:val="2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Tekstopmerking">
    <w:name w:val="annotation text"/>
    <w:uiPriority w:val="99"/>
    <w:semiHidden/>
    <w:unhideWhenUsed/>
    <w:rPr>
      <w:sz w:val="20"/>
      <w:szCs w:val="20"/>
    </w:rPr>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mbudsfin.b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1024</Words>
  <Characters>5633</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- 20231213_Template webpagina</vt:lpstr>
      <vt:lpstr>Microsoft Word - 20231213_Template webpagina</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- 20231213_Template webpagina</dc:title>
  <dc:creator>Van Duyse, Nathalie</dc:creator>
  <cp:lastModifiedBy>Maya Daneels</cp:lastModifiedBy>
  <cp:revision>4</cp:revision>
  <dcterms:created xsi:type="dcterms:W3CDTF">2023-12-20T12:44:00Z</dcterms:created>
  <dcterms:modified xsi:type="dcterms:W3CDTF">2023-12-20T12:48:00Z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LastSaved">
    <vt:filetime>2023-12-14T00:00:00Z</vt:filetime>
  </property>
  <property fmtid="{D5CDD505-2E9C-101B-9397-08002B2CF9AE}" pid="4" name="Producer">
    <vt:lpwstr>Microsoft: Print To PDF</vt:lpwstr>
  </property>
</Properties>
</file>